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5D" w:rsidRDefault="00BC725D">
      <w:pPr>
        <w:pStyle w:val="ConsPlusTitle"/>
        <w:jc w:val="center"/>
      </w:pPr>
      <w:r>
        <w:t>ПРЕДСТАВИТЕЛЬНОЕ СОБРАНИЕ</w:t>
      </w:r>
    </w:p>
    <w:p w:rsidR="00BC725D" w:rsidRDefault="00BC725D">
      <w:pPr>
        <w:pStyle w:val="ConsPlusTitle"/>
        <w:jc w:val="center"/>
      </w:pPr>
      <w:r>
        <w:t>КУРСКОГО РАЙОНА</w:t>
      </w:r>
    </w:p>
    <w:p w:rsidR="00BC725D" w:rsidRDefault="00BC725D">
      <w:pPr>
        <w:pStyle w:val="ConsPlusTitle"/>
        <w:jc w:val="center"/>
      </w:pPr>
      <w:r>
        <w:t>КУРСКОЙ ОБЛАСТИ</w:t>
      </w:r>
    </w:p>
    <w:p w:rsidR="00BC725D" w:rsidRDefault="00BC725D">
      <w:pPr>
        <w:pStyle w:val="ConsPlusTitle"/>
        <w:jc w:val="center"/>
      </w:pPr>
    </w:p>
    <w:p w:rsidR="00BC725D" w:rsidRDefault="00BC725D">
      <w:pPr>
        <w:pStyle w:val="ConsPlusTitle"/>
        <w:jc w:val="center"/>
      </w:pPr>
      <w:r>
        <w:t>РЕШЕНИЕ</w:t>
      </w:r>
    </w:p>
    <w:p w:rsidR="00BC725D" w:rsidRDefault="00BC725D">
      <w:pPr>
        <w:pStyle w:val="ConsPlusTitle"/>
        <w:jc w:val="center"/>
      </w:pPr>
      <w:r>
        <w:t>от 21 декабря 2007 г. N 93-1-20</w:t>
      </w:r>
    </w:p>
    <w:p w:rsidR="00BC725D" w:rsidRDefault="00BC725D">
      <w:pPr>
        <w:pStyle w:val="ConsPlusTitle"/>
        <w:jc w:val="center"/>
      </w:pPr>
    </w:p>
    <w:p w:rsidR="00BC725D" w:rsidRDefault="00BC725D">
      <w:pPr>
        <w:pStyle w:val="ConsPlusTitle"/>
        <w:jc w:val="center"/>
      </w:pPr>
      <w:r>
        <w:t>О ЕДИНОМ НАЛОГЕ НА ВМЕНЕННЫЙ ДОХОД</w:t>
      </w:r>
    </w:p>
    <w:p w:rsidR="00BC725D" w:rsidRDefault="00BC725D">
      <w:pPr>
        <w:pStyle w:val="ConsPlusTitle"/>
        <w:jc w:val="center"/>
      </w:pPr>
      <w:r>
        <w:t>ДЛЯ ОТДЕЛЬНЫХ ВИДОВ ДЕЯТЕЛЬНОСТИ</w:t>
      </w:r>
    </w:p>
    <w:p w:rsidR="00BC725D" w:rsidRDefault="00BC72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C72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25D" w:rsidRDefault="00BC72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25D" w:rsidRDefault="00BC725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Представительного собрания Курского района</w:t>
            </w:r>
            <w:proofErr w:type="gramEnd"/>
          </w:p>
          <w:p w:rsidR="00BC725D" w:rsidRDefault="00BC725D">
            <w:pPr>
              <w:pStyle w:val="ConsPlusNormal"/>
              <w:jc w:val="center"/>
            </w:pPr>
            <w:r>
              <w:rPr>
                <w:color w:val="392C69"/>
              </w:rPr>
              <w:t xml:space="preserve">Курской области от 26.09.2008 </w:t>
            </w:r>
            <w:hyperlink r:id="rId4" w:history="1">
              <w:r>
                <w:rPr>
                  <w:color w:val="0000FF"/>
                </w:rPr>
                <w:t>N 112-1-23</w:t>
              </w:r>
            </w:hyperlink>
            <w:r>
              <w:rPr>
                <w:color w:val="392C69"/>
              </w:rPr>
              <w:t>,</w:t>
            </w:r>
          </w:p>
          <w:p w:rsidR="00BC725D" w:rsidRDefault="00BC72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5" w:history="1">
              <w:r>
                <w:rPr>
                  <w:color w:val="0000FF"/>
                </w:rPr>
                <w:t>N 15-2-122</w:t>
              </w:r>
            </w:hyperlink>
            <w:r>
              <w:rPr>
                <w:color w:val="392C69"/>
              </w:rPr>
              <w:t xml:space="preserve">, от 09.11.2016 </w:t>
            </w:r>
            <w:hyperlink r:id="rId6" w:history="1">
              <w:r>
                <w:rPr>
                  <w:color w:val="0000FF"/>
                </w:rPr>
                <w:t>N 18-3-146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725D" w:rsidRDefault="00BC725D">
      <w:pPr>
        <w:pStyle w:val="ConsPlusNormal"/>
        <w:jc w:val="center"/>
      </w:pPr>
    </w:p>
    <w:p w:rsidR="00BC725D" w:rsidRDefault="00BC725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Курского района Курской области решило:</w:t>
      </w:r>
      <w:proofErr w:type="gramEnd"/>
    </w:p>
    <w:p w:rsidR="00BC725D" w:rsidRDefault="00BC725D">
      <w:pPr>
        <w:pStyle w:val="ConsPlusNormal"/>
        <w:spacing w:before="220"/>
        <w:ind w:firstLine="540"/>
        <w:jc w:val="both"/>
      </w:pPr>
      <w:r>
        <w:t>1. Система налогообложения в виде единого налога на вмененный доход для отдельных видов деятельности вводится в действие на территории Курского района Курской области настоящим решением в соответствии с действующим законодательством Российской Федерации.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автотранспортных средств;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автотранспортных средств, а также на платных стоянках (за исключением штрафных автостоянок);</w:t>
      </w:r>
    </w:p>
    <w:p w:rsidR="00BC725D" w:rsidRDefault="00BC725D">
      <w:pPr>
        <w:pStyle w:val="ConsPlusNormal"/>
        <w:jc w:val="both"/>
      </w:pPr>
      <w:r>
        <w:t xml:space="preserve">(п. 4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C725D" w:rsidRDefault="00BC725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</w:t>
      </w:r>
      <w:r>
        <w:lastRenderedPageBreak/>
        <w:t>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C725D" w:rsidRDefault="00BC725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BC725D" w:rsidRDefault="00BC725D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11) размещения рекламы на транспортных средствах;</w:t>
      </w:r>
    </w:p>
    <w:p w:rsidR="00BC725D" w:rsidRDefault="00BC725D">
      <w:pPr>
        <w:pStyle w:val="ConsPlusNormal"/>
        <w:jc w:val="both"/>
      </w:pPr>
      <w:r>
        <w:t xml:space="preserve">(п. 11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BC725D" w:rsidRDefault="00BC72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C725D" w:rsidRDefault="00BC725D">
      <w:pPr>
        <w:pStyle w:val="ConsPlusNormal"/>
        <w:jc w:val="both"/>
      </w:pPr>
      <w:r>
        <w:t xml:space="preserve">(п. 14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26.09.2008 N 112-1-23)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3. Установить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BC725D" w:rsidRDefault="00BC725D">
      <w:pPr>
        <w:pStyle w:val="ConsPlusNormal"/>
        <w:ind w:firstLine="54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1963"/>
        <w:gridCol w:w="1701"/>
      </w:tblGrid>
      <w:tr w:rsidR="00BC725D" w:rsidTr="00BC725D">
        <w:trPr>
          <w:trHeight w:val="681"/>
        </w:trPr>
        <w:tc>
          <w:tcPr>
            <w:tcW w:w="5896" w:type="dxa"/>
            <w:vMerge w:val="restart"/>
          </w:tcPr>
          <w:p w:rsidR="00BC725D" w:rsidRDefault="00BC725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664" w:type="dxa"/>
            <w:gridSpan w:val="2"/>
          </w:tcPr>
          <w:p w:rsidR="00BC725D" w:rsidRDefault="00BC725D">
            <w:pPr>
              <w:pStyle w:val="ConsPlusNormal"/>
              <w:jc w:val="center"/>
            </w:pPr>
            <w:r>
              <w:t>Значение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BC725D" w:rsidTr="00BC725D">
        <w:trPr>
          <w:trHeight w:val="794"/>
        </w:trPr>
        <w:tc>
          <w:tcPr>
            <w:tcW w:w="5896" w:type="dxa"/>
            <w:vMerge/>
          </w:tcPr>
          <w:p w:rsidR="00BC725D" w:rsidRDefault="00BC725D"/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Сельские административные центры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 Оказание бытовых услуг</w:t>
            </w:r>
          </w:p>
          <w:p w:rsidR="00BC725D" w:rsidRDefault="00BC725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1.1. Ремонт, окраска и пошив обуви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0,04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1.3. 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1.4. Ремонт ювелирных изделий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0,11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1.5. Химическая чистка и крашение, услуги прачечных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0,04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1.6. Услуги фотоателье, фото -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0,04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1.7. Оказание парикмахерских услуг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1.8. </w:t>
            </w:r>
            <w:proofErr w:type="gramStart"/>
            <w:r>
              <w:t>Услуги по прокату (за исключением проката транспортных средств, оргтехники, игровых автоматов,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1.9. Ремонт и строительство жилья и других построек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1.10. Изготовление и ремонт мебели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1.11.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0,11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1.12. Другие виды бытовых услуг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2. Оказание ветеринарных услуг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4. Оказание услуг по хранению автотранспортных средств на платных стоянках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5. Оказание автотранспортных услуг,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5.1. Оказание автотранспортных услуг по перевозке грузов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5.2. Оказание автотранспортных услуг по перевозке пассажиров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 Розничная торговля, осуществляемая через объекты стационарной торговой сети, имеющие торговые залы,</w:t>
            </w:r>
          </w:p>
          <w:p w:rsidR="00BC725D" w:rsidRDefault="00BC725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6.1. Продовольственными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6.2.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6.3. Продовольственными и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6.4. Промышленными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6.5.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6.6. Смешанными товарами (продовольственными и промышленными,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6.7. Лекарственными средствами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6.8.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</w:t>
            </w:r>
          </w:p>
          <w:p w:rsidR="00BC725D" w:rsidRDefault="00BC725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7.1. Продовольственными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7.2.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7.3. Продовольственными и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7.4. Промышленными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7.5.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7.6. Смешанными товарами (продовольственными и промышленными товарами,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7.7. Лекарственными средствами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7.8.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7.10. Семенами, рассадой овощных культур, саженцами, средствами защиты растений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</w:t>
            </w:r>
          </w:p>
          <w:p w:rsidR="00BC725D" w:rsidRDefault="00BC725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8.1. Продовольственными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8.2.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8.3. Продовольственными и подакцизными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8.4. Промышленными товарами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8.5. Смешанными товарами (продовольственными и промышленными, включая </w:t>
            </w:r>
            <w:proofErr w:type="gramStart"/>
            <w:r>
              <w:t>подакцизные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8.6. Смешанными товарами (продовольственными и промышленными товарами кроме </w:t>
            </w:r>
            <w:proofErr w:type="gramStart"/>
            <w:r>
              <w:t>подакцизных</w:t>
            </w:r>
            <w:proofErr w:type="gramEnd"/>
            <w:r>
              <w:t>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8.7. Лекарственными средствами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8.8. </w:t>
            </w:r>
            <w:proofErr w:type="gramStart"/>
            <w:r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8.10. Семенами, рассадой овощных культур, саженцами, средствами защиты растений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0,07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10. Оказание услуг общественного питания через объекты организации общественного питания, имеющие залы обслуживания посетителей, деятельность: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10.1. Столовых и кафе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10.2. </w:t>
            </w:r>
            <w:proofErr w:type="gramStart"/>
            <w:r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>
              <w:t>гамбургерные</w:t>
            </w:r>
            <w:proofErr w:type="spellEnd"/>
            <w:r>
              <w:t xml:space="preserve"> и т.д.)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10.3. Ресторанов, баров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0,09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0,08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12.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0,01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13.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0,01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14. Распространение и (или) размещение наружной рекламы посредством электронных табло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0,03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15.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>16. Оказание услуг по временному размещению и проживанию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17. </w:t>
            </w: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>
              <w:t xml:space="preserve"> питания не превышает 5 квадратных метров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18. </w:t>
            </w:r>
            <w:proofErr w:type="gramStart"/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>
              <w:t xml:space="preserve"> питания превышает 5 квадратных метров</w:t>
            </w:r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19. </w:t>
            </w:r>
            <w:proofErr w:type="gramStart"/>
            <w:r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0,13</w:t>
            </w:r>
          </w:p>
        </w:tc>
      </w:tr>
      <w:tr w:rsidR="00BC725D" w:rsidTr="00BC725D">
        <w:tc>
          <w:tcPr>
            <w:tcW w:w="5896" w:type="dxa"/>
          </w:tcPr>
          <w:p w:rsidR="00BC725D" w:rsidRDefault="00BC725D">
            <w:pPr>
              <w:pStyle w:val="ConsPlusNormal"/>
              <w:jc w:val="both"/>
            </w:pPr>
            <w:r>
              <w:t xml:space="preserve">20. </w:t>
            </w:r>
            <w:proofErr w:type="gramStart"/>
            <w:r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963" w:type="dxa"/>
          </w:tcPr>
          <w:p w:rsidR="00BC725D" w:rsidRDefault="00BC725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701" w:type="dxa"/>
          </w:tcPr>
          <w:p w:rsidR="00BC725D" w:rsidRDefault="00BC725D">
            <w:pPr>
              <w:pStyle w:val="ConsPlusNormal"/>
              <w:jc w:val="center"/>
            </w:pPr>
            <w:r>
              <w:t>0,16</w:t>
            </w:r>
          </w:p>
        </w:tc>
      </w:tr>
    </w:tbl>
    <w:p w:rsidR="00BC725D" w:rsidRDefault="00BC725D">
      <w:pPr>
        <w:pStyle w:val="ConsPlusNormal"/>
        <w:ind w:firstLine="540"/>
        <w:jc w:val="both"/>
      </w:pPr>
    </w:p>
    <w:p w:rsidR="00BC725D" w:rsidRDefault="00BC725D">
      <w:pPr>
        <w:pStyle w:val="ConsPlusNormal"/>
        <w:ind w:firstLine="540"/>
        <w:jc w:val="both"/>
      </w:pPr>
      <w:r>
        <w:t>В случае осуществления налогоплательщиком розничной торговли несколькими ассортиментными группами товаров, при корректировке величины базовой доходности применяется значение коэффициента К</w:t>
      </w:r>
      <w:proofErr w:type="gramStart"/>
      <w:r>
        <w:rPr>
          <w:vertAlign w:val="subscript"/>
        </w:rPr>
        <w:t>2</w:t>
      </w:r>
      <w:proofErr w:type="gramEnd"/>
      <w:r>
        <w:t>, равное наибольшему значению К</w:t>
      </w:r>
      <w:r>
        <w:rPr>
          <w:vertAlign w:val="subscript"/>
        </w:rPr>
        <w:t>2</w:t>
      </w:r>
      <w:r>
        <w:t xml:space="preserve"> из этих ассортиментных групп товаров.</w:t>
      </w:r>
    </w:p>
    <w:p w:rsidR="00BC725D" w:rsidRDefault="00BC725D">
      <w:pPr>
        <w:pStyle w:val="ConsPlusNormal"/>
        <w:jc w:val="both"/>
      </w:pPr>
      <w:r>
        <w:t xml:space="preserve">(п.3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Представительного собрания Курского района Курской области от 09.11.2016 N 18-3-146)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Представительного Собрания Курского района Курской области от 31 октября 2006 года N 59-1-13 "О едином налоге на вмененный доход для отдельных видов деятельности".</w:t>
      </w:r>
    </w:p>
    <w:p w:rsidR="00BC725D" w:rsidRDefault="00BC725D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BC725D" w:rsidRDefault="00BC725D">
      <w:pPr>
        <w:pStyle w:val="ConsPlusNormal"/>
        <w:ind w:firstLine="540"/>
        <w:jc w:val="both"/>
      </w:pPr>
    </w:p>
    <w:p w:rsidR="00BC725D" w:rsidRDefault="00BC725D">
      <w:pPr>
        <w:pStyle w:val="ConsPlusNormal"/>
        <w:jc w:val="right"/>
      </w:pPr>
      <w:r>
        <w:t>Глава Курского района</w:t>
      </w:r>
    </w:p>
    <w:p w:rsidR="00BC725D" w:rsidRDefault="00BC725D">
      <w:pPr>
        <w:pStyle w:val="ConsPlusNormal"/>
        <w:jc w:val="right"/>
      </w:pPr>
      <w:r>
        <w:t>В.Г.БОЛДИН</w:t>
      </w:r>
    </w:p>
    <w:p w:rsidR="00BC725D" w:rsidRDefault="00BC725D">
      <w:pPr>
        <w:pStyle w:val="ConsPlusNormal"/>
        <w:ind w:firstLine="540"/>
        <w:jc w:val="both"/>
      </w:pPr>
    </w:p>
    <w:p w:rsidR="00BC725D" w:rsidRDefault="00BC725D">
      <w:pPr>
        <w:pStyle w:val="ConsPlusNormal"/>
        <w:ind w:firstLine="540"/>
        <w:jc w:val="both"/>
      </w:pPr>
    </w:p>
    <w:p w:rsidR="00BC725D" w:rsidRDefault="00BC72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D60" w:rsidRDefault="00304292"/>
    <w:sectPr w:rsidR="00972D60" w:rsidSect="00FB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C725D"/>
    <w:rsid w:val="002B5E72"/>
    <w:rsid w:val="00300256"/>
    <w:rsid w:val="00304292"/>
    <w:rsid w:val="00BC725D"/>
    <w:rsid w:val="00BD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2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241CCBFB6F299A42603E04803B08810C611A5C721577EADDB69E252DDW3TEJ" TargetMode="External"/><Relationship Id="rId13" Type="http://schemas.openxmlformats.org/officeDocument/2006/relationships/hyperlink" Target="consultantplus://offline/ref=8F6C076501788AE9EB5DCB72A8CBE67A074291B4B5FF96F07F5CBB1554B98247935EA489675F61ADDD77E153D46A8A33F20130230F57C89EE8995CWCTDJ" TargetMode="External"/><Relationship Id="rId18" Type="http://schemas.openxmlformats.org/officeDocument/2006/relationships/hyperlink" Target="consultantplus://offline/ref=8F6C076501788AE9EB5DCB72A8CBE67A074291B4BFF192F57101B11D0DB580409C01A18E765F62A8C377E64CDD3ED9W7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6C076501788AE9EB5DD57FBEA7BC76034CCBBFB5F399A42603E04803B08810D411FDCB255266A68926A407D23CDE69A70A2C241155WCTEJ" TargetMode="External"/><Relationship Id="rId12" Type="http://schemas.openxmlformats.org/officeDocument/2006/relationships/hyperlink" Target="consultantplus://offline/ref=8F6C076501788AE9EB5DCB72A8CBE67A074291B4B5FF96F07F5CBB1554B98247935EA489675F61ADDD77E152D46A8A33F20130230F57C89EE8995CWCTDJ" TargetMode="External"/><Relationship Id="rId17" Type="http://schemas.openxmlformats.org/officeDocument/2006/relationships/hyperlink" Target="consultantplus://offline/ref=8F6C076501788AE9EB5DCB72A8CBE67A074291B4B2FE95FB735CBB1554B98247935EA489675F61ADDD77E057D46A8A33F20130230F57C89EE8995CWCT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C076501788AE9EB5DCB72A8CBE67A074291B4B5FF96F07F5CBB1554B98247935EA489675F61ADDD77E157D46A8A33F20130230F57C89EE8995CWCT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C076501788AE9EB5DCB72A8CBE67A074291B4B2FE95FB735CBB1554B98247935EA489675F61ADDD77E057D46A8A33F20130230F57C89EE8995CWCTDJ" TargetMode="External"/><Relationship Id="rId11" Type="http://schemas.openxmlformats.org/officeDocument/2006/relationships/hyperlink" Target="consultantplus://offline/ref=8F6C076501788AE9EB5DCB72A8CBE67A074291B4B5FF96F07F5CBB1554B98247935EA489675F61ADDD77E05BD46A8A33F20130230F57C89EE8995CWCTDJ" TargetMode="External"/><Relationship Id="rId5" Type="http://schemas.openxmlformats.org/officeDocument/2006/relationships/hyperlink" Target="consultantplus://offline/ref=8F6C076501788AE9EB5DCB72A8CBE67A074291B4B5FF92F37A5CBB1554B98247935EA489675F61ADDD77E057D46A8A33F20130230F57C89EE8995CWCTDJ" TargetMode="External"/><Relationship Id="rId15" Type="http://schemas.openxmlformats.org/officeDocument/2006/relationships/hyperlink" Target="consultantplus://offline/ref=8F6C076501788AE9EB5DCB72A8CBE67A074291B4B5FF96F07F5CBB1554B98247935EA489675F61ADDD77E156D46A8A33F20130230F57C89EE8995CWCTDJ" TargetMode="External"/><Relationship Id="rId10" Type="http://schemas.openxmlformats.org/officeDocument/2006/relationships/hyperlink" Target="consultantplus://offline/ref=8F6C076501788AE9EB5DCB72A8CBE67A074291B4B5FF96F07F5CBB1554B98247935EA489675F61ADDD77E055D46A8A33F20130230F57C89EE8995CWCTD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F6C076501788AE9EB5DCB72A8CBE67A074291B4B5FF96F07F5CBB1554B98247935EA489675F61ADDD77E057D46A8A33F20130230F57C89EE8995CWCTDJ" TargetMode="External"/><Relationship Id="rId9" Type="http://schemas.openxmlformats.org/officeDocument/2006/relationships/hyperlink" Target="consultantplus://offline/ref=8F6C076501788AE9EB5DD57FBEA7BC76014CC7BEB2F299A42603E04803B08810C611A5C721577EADDB69E252DDW3TEJ" TargetMode="External"/><Relationship Id="rId14" Type="http://schemas.openxmlformats.org/officeDocument/2006/relationships/hyperlink" Target="consultantplus://offline/ref=8F6C076501788AE9EB5DCB72A8CBE67A074291B4B5FF96F07F5CBB1554B98247935EA489675F61ADDD77E151D46A8A33F20130230F57C89EE8995CWC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2020-06-25T09:20:00Z</cp:lastPrinted>
  <dcterms:created xsi:type="dcterms:W3CDTF">2020-06-25T09:19:00Z</dcterms:created>
  <dcterms:modified xsi:type="dcterms:W3CDTF">2020-06-25T10:06:00Z</dcterms:modified>
</cp:coreProperties>
</file>