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2.3.2. Зоны рекреационного назначения</w:t>
      </w:r>
      <w:bookmarkStart w:id="0" w:name="_GoBack"/>
      <w:bookmarkEnd w:id="0"/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Зоны рекреационного назначения включают: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•</w:t>
      </w:r>
      <w:r w:rsidRPr="00475985">
        <w:rPr>
          <w:rFonts w:ascii="Times New Roman" w:hAnsi="Times New Roman" w:cs="Times New Roman"/>
          <w:sz w:val="28"/>
          <w:szCs w:val="28"/>
        </w:rPr>
        <w:tab/>
        <w:t xml:space="preserve">общерегиональные зоны отдыха, формирующиеся на базе существующих зон длительного отдыха – санаторий «Моква»; водоохранные зоны и прибрежные полосы водных объектов;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•</w:t>
      </w:r>
      <w:r w:rsidRPr="00475985">
        <w:rPr>
          <w:rFonts w:ascii="Times New Roman" w:hAnsi="Times New Roman" w:cs="Times New Roman"/>
          <w:sz w:val="28"/>
          <w:szCs w:val="28"/>
        </w:rPr>
        <w:tab/>
        <w:t xml:space="preserve">районные зоны отдыха, формирующиеся по берегам р. Сейм.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С учетом имеющихся территориальных ресурсов, выявленных при комплексном анализе территории, зона преимущественного развития рекреационной и туристской инфраструктуры подразделяется на: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•</w:t>
      </w:r>
      <w:r w:rsidRPr="00475985">
        <w:rPr>
          <w:rFonts w:ascii="Times New Roman" w:hAnsi="Times New Roman" w:cs="Times New Roman"/>
          <w:sz w:val="28"/>
          <w:szCs w:val="28"/>
        </w:rPr>
        <w:tab/>
        <w:t>зоны ограниченного рекреационного использования;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•</w:t>
      </w:r>
      <w:r w:rsidRPr="00475985">
        <w:rPr>
          <w:rFonts w:ascii="Times New Roman" w:hAnsi="Times New Roman" w:cs="Times New Roman"/>
          <w:sz w:val="28"/>
          <w:szCs w:val="28"/>
        </w:rPr>
        <w:tab/>
        <w:t>зоны активного рекреационного использования.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 зонах активного рекреационного использования разрешается размещать: учреждения длительного и кратковременного отдыха взрослых (базы и дома отдыха, пансионаты, турбазы, мотели и кемпинги, рыболовные и охотничьи базы); учреждения длительного отдыха детей (детские дачи, пионерские и оздоровительные лагеря)зоны регулируемого рекреационного использования и т.п.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 зонах ограниченного рекреационного использования (рекреационные зоны, расположенные на особо охраняемых природных территориях) в целях сохранения экологического равновесия новое строительство учреждений отдыха не допускается. Объем нового строительства регламентируется элементами инженерно-транспортной инфраструктуры, обеспечивающей создание благоприятной среды жизнедеятельности рекреантов и решающей вопросы охраны окружающей среды.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На территории зоны преимущественного развития рекреационной и туристской инфраструктуры запрещается: строительство промышленных и сельскохозяйственных объектов; строительство инженерных и транспортных сооружений, не отвечающих потребностям зон отдыха; прокладка магистральных инженерных коммуникаций.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2.3.3. Объекты культурного наследия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Сохранившийся пласт историко-культурного наследия Курского района, включающий значительное количество памятников, археологии, природы, истории сегодня нуждается в особой государственной заботе. В Курской области всего пять объектов удостоены разработки Зон охраны памятников истории и культуры  (состоящие из территории памятника, его охраной зоны, зон регулирования застройки и охраняемого природного ландшафта) и среди </w:t>
      </w:r>
      <w:r w:rsidRPr="00475985">
        <w:rPr>
          <w:rFonts w:ascii="Times New Roman" w:hAnsi="Times New Roman" w:cs="Times New Roman"/>
          <w:sz w:val="28"/>
          <w:szCs w:val="28"/>
        </w:rPr>
        <w:lastRenderedPageBreak/>
        <w:t xml:space="preserve">них на территории Курского района нет ни одной. На территории Курского района следует отметить «Проект реставрации насаждений и организации садово-паркового хозяйства на территории санатория «Моква» (бывшая усадьба Нелидовых) памятника архитектуры XIX в. Курском р-не», который в дальнейшем необходимо переработать в проект зоны охраны памятника архитектуры.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Сводная таблица памятников истории и культуры Курского района (по состоянию на 1 ноября 1998 г.)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Всего памятников</w:t>
      </w:r>
      <w:r w:rsidRPr="00475985">
        <w:rPr>
          <w:rFonts w:ascii="Times New Roman" w:hAnsi="Times New Roman" w:cs="Times New Roman"/>
          <w:sz w:val="28"/>
          <w:szCs w:val="28"/>
        </w:rPr>
        <w:tab/>
        <w:t>194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Всего памятников по типологическим признакам:</w:t>
      </w:r>
      <w:r w:rsidRPr="00475985">
        <w:rPr>
          <w:rFonts w:ascii="Times New Roman" w:hAnsi="Times New Roman" w:cs="Times New Roman"/>
          <w:sz w:val="28"/>
          <w:szCs w:val="28"/>
        </w:rPr>
        <w:tab/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ab/>
        <w:t>археологии</w:t>
      </w:r>
      <w:r w:rsidRPr="00475985">
        <w:rPr>
          <w:rFonts w:ascii="Times New Roman" w:hAnsi="Times New Roman" w:cs="Times New Roman"/>
          <w:sz w:val="28"/>
          <w:szCs w:val="28"/>
        </w:rPr>
        <w:tab/>
        <w:t>149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ab/>
        <w:t>архитектуры</w:t>
      </w:r>
      <w:r w:rsidRPr="00475985">
        <w:rPr>
          <w:rFonts w:ascii="Times New Roman" w:hAnsi="Times New Roman" w:cs="Times New Roman"/>
          <w:sz w:val="28"/>
          <w:szCs w:val="28"/>
        </w:rPr>
        <w:tab/>
        <w:t>20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ab/>
        <w:t>истории</w:t>
      </w:r>
      <w:r w:rsidRPr="00475985">
        <w:rPr>
          <w:rFonts w:ascii="Times New Roman" w:hAnsi="Times New Roman" w:cs="Times New Roman"/>
          <w:sz w:val="28"/>
          <w:szCs w:val="28"/>
        </w:rPr>
        <w:tab/>
        <w:t>25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ab/>
        <w:t>искусства</w:t>
      </w:r>
      <w:r w:rsidRPr="00475985">
        <w:rPr>
          <w:rFonts w:ascii="Times New Roman" w:hAnsi="Times New Roman" w:cs="Times New Roman"/>
          <w:sz w:val="28"/>
          <w:szCs w:val="28"/>
        </w:rPr>
        <w:tab/>
        <w:t>-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 том числе:</w:t>
      </w:r>
      <w:r w:rsidRPr="00475985">
        <w:rPr>
          <w:rFonts w:ascii="Times New Roman" w:hAnsi="Times New Roman" w:cs="Times New Roman"/>
          <w:sz w:val="28"/>
          <w:szCs w:val="28"/>
        </w:rPr>
        <w:tab/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- памятников, стоящих на государственной охране, из них:</w:t>
      </w:r>
      <w:r w:rsidRPr="00475985">
        <w:rPr>
          <w:rFonts w:ascii="Times New Roman" w:hAnsi="Times New Roman" w:cs="Times New Roman"/>
          <w:sz w:val="28"/>
          <w:szCs w:val="28"/>
        </w:rPr>
        <w:tab/>
        <w:t>36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ab/>
        <w:t>археологии</w:t>
      </w:r>
      <w:r w:rsidRPr="00475985">
        <w:rPr>
          <w:rFonts w:ascii="Times New Roman" w:hAnsi="Times New Roman" w:cs="Times New Roman"/>
          <w:sz w:val="28"/>
          <w:szCs w:val="28"/>
        </w:rPr>
        <w:tab/>
        <w:t>7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ab/>
        <w:t>архитектуры</w:t>
      </w:r>
      <w:r w:rsidRPr="00475985">
        <w:rPr>
          <w:rFonts w:ascii="Times New Roman" w:hAnsi="Times New Roman" w:cs="Times New Roman"/>
          <w:sz w:val="28"/>
          <w:szCs w:val="28"/>
        </w:rPr>
        <w:tab/>
        <w:t>10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ab/>
        <w:t>истории</w:t>
      </w:r>
      <w:r w:rsidRPr="00475985">
        <w:rPr>
          <w:rFonts w:ascii="Times New Roman" w:hAnsi="Times New Roman" w:cs="Times New Roman"/>
          <w:sz w:val="28"/>
          <w:szCs w:val="28"/>
        </w:rPr>
        <w:tab/>
        <w:t>19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ab/>
        <w:t>искусства</w:t>
      </w:r>
      <w:r w:rsidRPr="00475985">
        <w:rPr>
          <w:rFonts w:ascii="Times New Roman" w:hAnsi="Times New Roman" w:cs="Times New Roman"/>
          <w:sz w:val="28"/>
          <w:szCs w:val="28"/>
        </w:rPr>
        <w:tab/>
        <w:t>-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- вновь выявленных памятников, из них:</w:t>
      </w:r>
      <w:r w:rsidRPr="00475985">
        <w:rPr>
          <w:rFonts w:ascii="Times New Roman" w:hAnsi="Times New Roman" w:cs="Times New Roman"/>
          <w:sz w:val="28"/>
          <w:szCs w:val="28"/>
        </w:rPr>
        <w:tab/>
        <w:t>158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ab/>
        <w:t>археологии</w:t>
      </w:r>
      <w:r w:rsidRPr="00475985">
        <w:rPr>
          <w:rFonts w:ascii="Times New Roman" w:hAnsi="Times New Roman" w:cs="Times New Roman"/>
          <w:sz w:val="28"/>
          <w:szCs w:val="28"/>
        </w:rPr>
        <w:tab/>
        <w:t>142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ab/>
        <w:t>архитектуры</w:t>
      </w:r>
      <w:r w:rsidRPr="00475985">
        <w:rPr>
          <w:rFonts w:ascii="Times New Roman" w:hAnsi="Times New Roman" w:cs="Times New Roman"/>
          <w:sz w:val="28"/>
          <w:szCs w:val="28"/>
        </w:rPr>
        <w:tab/>
        <w:t>10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ab/>
        <w:t>истории</w:t>
      </w:r>
      <w:r w:rsidRPr="00475985">
        <w:rPr>
          <w:rFonts w:ascii="Times New Roman" w:hAnsi="Times New Roman" w:cs="Times New Roman"/>
          <w:sz w:val="28"/>
          <w:szCs w:val="28"/>
        </w:rPr>
        <w:tab/>
        <w:t>7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ab/>
        <w:t>искусства</w:t>
      </w:r>
      <w:r w:rsidRPr="00475985">
        <w:rPr>
          <w:rFonts w:ascii="Times New Roman" w:hAnsi="Times New Roman" w:cs="Times New Roman"/>
          <w:sz w:val="28"/>
          <w:szCs w:val="28"/>
        </w:rPr>
        <w:tab/>
        <w:t>-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В результате жизнедеятельности человека и несанкционированные раскопки, оказались полностью или частично утрачены десятки памятников древности. В последние годы, в результате строительной деятельности утрачены и частично повреждены ценные исторические территории Курска и Курского района; в результате прокладки газопровода − поселение в селе Лебяжьем Курского района. Бывшие дворянские и купеческие загородные усадьбы в Курском районе самая незащищённая часть памятников – бесхозные, разбираемые на стройматериалы, калечащиеся некомпетентными ремонтами. В тяжелом состоянии усадебные некрополи и часовни-усыпальницы. Большая часть историко-культурного наследия района – находящиеся в аварийном состоянии, «руинированные» объекты или постепенно </w:t>
      </w:r>
      <w:r w:rsidRPr="00475985">
        <w:rPr>
          <w:rFonts w:ascii="Times New Roman" w:hAnsi="Times New Roman" w:cs="Times New Roman"/>
          <w:sz w:val="28"/>
          <w:szCs w:val="28"/>
        </w:rPr>
        <w:lastRenderedPageBreak/>
        <w:t xml:space="preserve">уничтожаемые некомпетентными ремонтами, страдающие от техногенной среды.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Основной задачей в сфере культурного наследия является осуществление на территории района государственной политики в области охраны объектов культурного наследия, обеспечивающей доступ граждан к культурным ценностям, и направленной на сохранение исторического и культурного наследия – недвижимых объектов культурного наследия. Деятельность осуществляется по нескольким направлениям: государственная охрана, сохранение, использование и популяризация. Результаты мероприятий по обеспечению сохранности объектов культурного наследия являются основным критерием эффективности деятельности органов власти, общественных и религиозных организаций, а также граждан по охране, сохранению, использованию и популяризации данных объектов. Главным необходимым условием обеспечения сохранности объектов культурного наследия в настоящее время является разработка и реализация эффективной государственной политики, которая бы учитывала состав и состояние объектов культурного наследия, их правовую защищенность, современные социально-экономические условия развития общества.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2.3.4. Особо охраняемые природные территории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(ООПТ) — это участки земли, водной поверхности и воздушного пространства, где располагаются природные комплексы и объекты, имеющие особое природоохранное, научное, культурное, эстетическое, рекреационное, оздоровительное значение, которые изъяты решениями органов государственной власти полностью или частично из хозяйственного использования.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С учетом особенностей режима и статуса в Курском районе различают следующие категории указанных территорий: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</w:t>
      </w:r>
      <w:r w:rsidRPr="00475985">
        <w:rPr>
          <w:rFonts w:ascii="Times New Roman" w:hAnsi="Times New Roman" w:cs="Times New Roman"/>
          <w:sz w:val="28"/>
          <w:szCs w:val="28"/>
        </w:rPr>
        <w:tab/>
        <w:t xml:space="preserve">государственные природные заповедники,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</w:t>
      </w:r>
      <w:r w:rsidRPr="00475985">
        <w:rPr>
          <w:rFonts w:ascii="Times New Roman" w:hAnsi="Times New Roman" w:cs="Times New Roman"/>
          <w:sz w:val="28"/>
          <w:szCs w:val="28"/>
        </w:rPr>
        <w:tab/>
        <w:t xml:space="preserve">дендрологические парки и ботанические сады,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</w:t>
      </w:r>
      <w:r w:rsidRPr="00475985">
        <w:rPr>
          <w:rFonts w:ascii="Times New Roman" w:hAnsi="Times New Roman" w:cs="Times New Roman"/>
          <w:sz w:val="28"/>
          <w:szCs w:val="28"/>
        </w:rPr>
        <w:tab/>
        <w:t xml:space="preserve">государственные природные заказники,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</w:t>
      </w:r>
      <w:r w:rsidRPr="00475985">
        <w:rPr>
          <w:rFonts w:ascii="Times New Roman" w:hAnsi="Times New Roman" w:cs="Times New Roman"/>
          <w:sz w:val="28"/>
          <w:szCs w:val="28"/>
        </w:rPr>
        <w:tab/>
        <w:t xml:space="preserve">памятники природы,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</w:t>
      </w:r>
      <w:r w:rsidRPr="00475985">
        <w:rPr>
          <w:rFonts w:ascii="Times New Roman" w:hAnsi="Times New Roman" w:cs="Times New Roman"/>
          <w:sz w:val="28"/>
          <w:szCs w:val="28"/>
        </w:rPr>
        <w:tab/>
        <w:t>лечебно-оздоровительные местности и курорты.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К памятникам природы отнесены уникальные, невосполнимые, ценные в экологическом, научном, культурном и эстетическом отношениях природные комплексы.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Среди них особенно выделяется (сертификат ЮНЕСКО) Центрально-чернозёмный государственный природный биосферный заповедник им. </w:t>
      </w:r>
      <w:r w:rsidRPr="00475985">
        <w:rPr>
          <w:rFonts w:ascii="Times New Roman" w:hAnsi="Times New Roman" w:cs="Times New Roman"/>
          <w:sz w:val="28"/>
          <w:szCs w:val="28"/>
        </w:rPr>
        <w:lastRenderedPageBreak/>
        <w:t>профессора В.В. Алехина (5287,4 га) − его «Стрелецкий» участок,  площадью 2046,0 га, расположен в Курском районе. Важнейшая задача заповедника: установление оптимального соотношения режимов охраны для сохранения всего разнообразия растительного покрова луговых степей.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Наряду с заповедниками и национальными парками в нашей стране развиты территории с частичным режимом охраны — заказники. На территории заказника под охраной находится не весь природный комплекс, а некоторые его части: только растения, только животные, либо их отдельные виды, либо отдельные историко-мемориальные или геологические объекты. Уникальной категорией памятников природы являются геологические памятники.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Перечень ООПТ Курского района (на 01.08.1996)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Название ООПТ</w:t>
      </w:r>
      <w:r w:rsidRPr="00475985">
        <w:rPr>
          <w:rFonts w:ascii="Times New Roman" w:hAnsi="Times New Roman" w:cs="Times New Roman"/>
          <w:sz w:val="28"/>
          <w:szCs w:val="28"/>
        </w:rPr>
        <w:tab/>
        <w:t>Год создания</w:t>
      </w:r>
      <w:r w:rsidRPr="00475985">
        <w:rPr>
          <w:rFonts w:ascii="Times New Roman" w:hAnsi="Times New Roman" w:cs="Times New Roman"/>
          <w:sz w:val="28"/>
          <w:szCs w:val="28"/>
        </w:rPr>
        <w:tab/>
        <w:t>Площадь (га)</w:t>
      </w:r>
      <w:r w:rsidRPr="00475985">
        <w:rPr>
          <w:rFonts w:ascii="Times New Roman" w:hAnsi="Times New Roman" w:cs="Times New Roman"/>
          <w:sz w:val="28"/>
          <w:szCs w:val="28"/>
        </w:rPr>
        <w:tab/>
        <w:t>Местоположение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Памятники природы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Озеро Линево</w:t>
      </w:r>
      <w:r w:rsidRPr="00475985">
        <w:rPr>
          <w:rFonts w:ascii="Times New Roman" w:hAnsi="Times New Roman" w:cs="Times New Roman"/>
          <w:sz w:val="28"/>
          <w:szCs w:val="28"/>
        </w:rPr>
        <w:tab/>
        <w:t>1977</w:t>
      </w:r>
      <w:r w:rsidRPr="00475985">
        <w:rPr>
          <w:rFonts w:ascii="Times New Roman" w:hAnsi="Times New Roman" w:cs="Times New Roman"/>
          <w:sz w:val="28"/>
          <w:szCs w:val="28"/>
        </w:rPr>
        <w:tab/>
        <w:t>5,0</w:t>
      </w:r>
      <w:r w:rsidRPr="00475985">
        <w:rPr>
          <w:rFonts w:ascii="Times New Roman" w:hAnsi="Times New Roman" w:cs="Times New Roman"/>
          <w:sz w:val="28"/>
          <w:szCs w:val="28"/>
        </w:rPr>
        <w:tab/>
        <w:t>пос. им. Маршала Жукова, Военное лесничество, КЭЧ МВО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Парк «Лебяжье»</w:t>
      </w:r>
      <w:r w:rsidRPr="00475985">
        <w:rPr>
          <w:rFonts w:ascii="Times New Roman" w:hAnsi="Times New Roman" w:cs="Times New Roman"/>
          <w:sz w:val="28"/>
          <w:szCs w:val="28"/>
        </w:rPr>
        <w:tab/>
        <w:t>1977</w:t>
      </w:r>
      <w:r w:rsidRPr="00475985">
        <w:rPr>
          <w:rFonts w:ascii="Times New Roman" w:hAnsi="Times New Roman" w:cs="Times New Roman"/>
          <w:sz w:val="28"/>
          <w:szCs w:val="28"/>
        </w:rPr>
        <w:tab/>
        <w:t>9,6</w:t>
      </w:r>
      <w:r w:rsidRPr="00475985">
        <w:rPr>
          <w:rFonts w:ascii="Times New Roman" w:hAnsi="Times New Roman" w:cs="Times New Roman"/>
          <w:sz w:val="28"/>
          <w:szCs w:val="28"/>
        </w:rPr>
        <w:tab/>
        <w:t>с. Лебяжье, дом отдыха филиала орловского юридического института (г.Курск, ул. Народная,11)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Парк «Моква»</w:t>
      </w:r>
      <w:r w:rsidRPr="00475985">
        <w:rPr>
          <w:rFonts w:ascii="Times New Roman" w:hAnsi="Times New Roman" w:cs="Times New Roman"/>
          <w:sz w:val="28"/>
          <w:szCs w:val="28"/>
        </w:rPr>
        <w:tab/>
        <w:t>1977</w:t>
      </w:r>
      <w:r w:rsidRPr="00475985">
        <w:rPr>
          <w:rFonts w:ascii="Times New Roman" w:hAnsi="Times New Roman" w:cs="Times New Roman"/>
          <w:sz w:val="28"/>
          <w:szCs w:val="28"/>
        </w:rPr>
        <w:tab/>
        <w:t>50</w:t>
      </w:r>
      <w:r w:rsidRPr="00475985">
        <w:rPr>
          <w:rFonts w:ascii="Times New Roman" w:hAnsi="Times New Roman" w:cs="Times New Roman"/>
          <w:sz w:val="28"/>
          <w:szCs w:val="28"/>
        </w:rPr>
        <w:tab/>
        <w:t>Моковский с/с, д. 2-я Моква, санаторий «Моква»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Парк «Щетинка»</w:t>
      </w:r>
      <w:r w:rsidRPr="00475985">
        <w:rPr>
          <w:rFonts w:ascii="Times New Roman" w:hAnsi="Times New Roman" w:cs="Times New Roman"/>
          <w:sz w:val="28"/>
          <w:szCs w:val="28"/>
        </w:rPr>
        <w:tab/>
        <w:t>1977</w:t>
      </w:r>
      <w:r w:rsidRPr="00475985">
        <w:rPr>
          <w:rFonts w:ascii="Times New Roman" w:hAnsi="Times New Roman" w:cs="Times New Roman"/>
          <w:sz w:val="28"/>
          <w:szCs w:val="28"/>
        </w:rPr>
        <w:tab/>
        <w:t>8</w:t>
      </w:r>
      <w:r w:rsidRPr="00475985">
        <w:rPr>
          <w:rFonts w:ascii="Times New Roman" w:hAnsi="Times New Roman" w:cs="Times New Roman"/>
          <w:sz w:val="28"/>
          <w:szCs w:val="28"/>
        </w:rPr>
        <w:tab/>
        <w:t>305511, п/о Щетинка, Областной противотуберкулезный диспансер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Выход фосфоритной плиты в песчаном карьере</w:t>
      </w:r>
      <w:r w:rsidRPr="00475985">
        <w:rPr>
          <w:rFonts w:ascii="Times New Roman" w:hAnsi="Times New Roman" w:cs="Times New Roman"/>
          <w:sz w:val="28"/>
          <w:szCs w:val="28"/>
        </w:rPr>
        <w:tab/>
        <w:t>1988</w:t>
      </w:r>
      <w:r w:rsidRPr="00475985">
        <w:rPr>
          <w:rFonts w:ascii="Times New Roman" w:hAnsi="Times New Roman" w:cs="Times New Roman"/>
          <w:sz w:val="28"/>
          <w:szCs w:val="28"/>
        </w:rPr>
        <w:tab/>
        <w:t>0,2</w:t>
      </w:r>
      <w:r w:rsidRPr="00475985">
        <w:rPr>
          <w:rFonts w:ascii="Times New Roman" w:hAnsi="Times New Roman" w:cs="Times New Roman"/>
          <w:sz w:val="28"/>
          <w:szCs w:val="28"/>
        </w:rPr>
        <w:tab/>
        <w:t>д. Ушаково, Ушаковская школа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Погребенная Микулинская палеобалка в Александровском карьере</w:t>
      </w:r>
      <w:r w:rsidRPr="00475985">
        <w:rPr>
          <w:rFonts w:ascii="Times New Roman" w:hAnsi="Times New Roman" w:cs="Times New Roman"/>
          <w:sz w:val="28"/>
          <w:szCs w:val="28"/>
        </w:rPr>
        <w:tab/>
        <w:t>2004</w:t>
      </w:r>
      <w:r w:rsidRPr="00475985">
        <w:rPr>
          <w:rFonts w:ascii="Times New Roman" w:hAnsi="Times New Roman" w:cs="Times New Roman"/>
          <w:sz w:val="28"/>
          <w:szCs w:val="28"/>
        </w:rPr>
        <w:tab/>
        <w:t>0,75</w:t>
      </w:r>
      <w:r w:rsidRPr="00475985">
        <w:rPr>
          <w:rFonts w:ascii="Times New Roman" w:hAnsi="Times New Roman" w:cs="Times New Roman"/>
          <w:sz w:val="28"/>
          <w:szCs w:val="28"/>
        </w:rPr>
        <w:tab/>
        <w:t>305018,г.Курск, ул. Призаводская,1, ООО «Керамика»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Государственные природные заказники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«Жерновецкая дача» Зоологический (пушной)</w:t>
      </w:r>
      <w:r w:rsidRPr="00475985">
        <w:rPr>
          <w:rFonts w:ascii="Times New Roman" w:hAnsi="Times New Roman" w:cs="Times New Roman"/>
          <w:sz w:val="28"/>
          <w:szCs w:val="28"/>
        </w:rPr>
        <w:tab/>
        <w:t>2001</w:t>
      </w:r>
      <w:r w:rsidRPr="00475985">
        <w:rPr>
          <w:rFonts w:ascii="Times New Roman" w:hAnsi="Times New Roman" w:cs="Times New Roman"/>
          <w:sz w:val="28"/>
          <w:szCs w:val="28"/>
        </w:rPr>
        <w:tab/>
        <w:t>20000</w:t>
      </w:r>
      <w:r w:rsidRPr="00475985">
        <w:rPr>
          <w:rFonts w:ascii="Times New Roman" w:hAnsi="Times New Roman" w:cs="Times New Roman"/>
          <w:sz w:val="28"/>
          <w:szCs w:val="28"/>
        </w:rPr>
        <w:tab/>
        <w:t>Северо-восточная часть Курского района и юго-восточная часть Золотухинского района в границах: северная – от ст. Будановка Золотухинского района на юго-восток по автодороге до с. Гремячка;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Восточная: от ст. Гремячка на юг по р. Рать до пересечения с административной границей Курского района, затем на юг по административной границе Курского района до пересечения с железной дорогой Курск-Касторное на ст. 21 км;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Южная – по железной дороге Курск-Касторное от ст.21 км на запад до пересечения с автодорогой на д. Ноздрачево;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Западная – от пересечения железной дороги с автомобильной на север до д. Ноздрачево, далее по плотине Семеновского пруда через д. Семеновская на </w:t>
      </w:r>
      <w:r w:rsidRPr="00475985">
        <w:rPr>
          <w:rFonts w:ascii="Times New Roman" w:hAnsi="Times New Roman" w:cs="Times New Roman"/>
          <w:sz w:val="28"/>
          <w:szCs w:val="28"/>
        </w:rPr>
        <w:lastRenderedPageBreak/>
        <w:t>северо-запад по грунтовой дороге до ст. Букреевка, затем на север от ст. Букреевка по железной дороге до ст. Будановка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 Схеме территориального планирования предлагается выделить подзоны Особо охраняемых природных территорий – Ключевые природные территории регионального значения (далее КПТ).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Ключевые природные территории 1 порядка ("ядра" экологического каркаса):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КПТ 1. Стрелецкая.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Совпадает со Стрелецким участком (1) Центрально-Чернозёмного заповедника. В природоохранных мерах нуждается также буферная территория (Ia) данной КПТ. Один из наиболее ценных участков лесостепи. В связи с этим следует изменить трассу проектируемой автострады, а именно вынести её за пределы территории ЦЧЗ и его охранной зоны.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Ключевые природные территории Курского района регионального значения: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КПТ 1. Пашковская. Место обитания вида пресмыкающихся, занесённого в Красную книгу Курской области (медянка).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КПТ 2. Парк Щетинка (Курск). Старинный парк, объявленный памятником природы.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КПТ 3. Парк Знаменская роща (Курск). Старовозрастные насаждения дуба и ясеня обыкновенного, объявленные памятником природы.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КПТ 4. Урочище Крутой лог. Объявленные памятником природы лесные культуры различных пород, созданные в 1949-1966 гг. на склонах большой крутизны.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КПТ 5. Халинский лес.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КПТ 6. Парк Моква. Старинный парк, объявленный памятником природы.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КПТ 7. Курский рыбхоз (Курск).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КПТ 8. Урочище Клюква.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КПТ 9. Дурневский лес.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КПТ 10. Городищенский луг.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2.3.5. Полезные ископаемые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Геологический фундамент Курской области образуют древние докембрийские метаморфические породы Воронежской антеклизы, на которых залегают различные по составу и мощности пласты осадочных пород последующих геологических периодов. Общее падение поверхности метаморфических пород и покрывающих их осадочных отложений – южное и западное.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lastRenderedPageBreak/>
        <w:t xml:space="preserve">Минерально-сырьевая база района представлена строительным песками и суглинками (см. Схему существующего использования территории). На южной окраине Курска разрабатывается Александровское месторождение трепела, камня кремнистой породы, идущего на лощение металлов, а также на огранку стекла. В пойме реки Сейм на западе Курского района разрабатывается месторождение строительных песков. На севере в пойме реки Тускарь – Пашковское месторождение суглинков для производства кирпича.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Ведется добыча торфа: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</w:t>
      </w:r>
      <w:r w:rsidRPr="00475985">
        <w:rPr>
          <w:rFonts w:ascii="Times New Roman" w:hAnsi="Times New Roman" w:cs="Times New Roman"/>
          <w:sz w:val="28"/>
          <w:szCs w:val="28"/>
        </w:rPr>
        <w:tab/>
        <w:t>месторождение у д. Щетинка (Щетинский сельсовет) площадью 14,2 га;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</w:t>
      </w:r>
      <w:r w:rsidRPr="00475985">
        <w:rPr>
          <w:rFonts w:ascii="Times New Roman" w:hAnsi="Times New Roman" w:cs="Times New Roman"/>
          <w:sz w:val="28"/>
          <w:szCs w:val="28"/>
        </w:rPr>
        <w:tab/>
        <w:t>месторождение у д. Нартово (Полянский сельсовет) площадью 55,4 га;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3. КОМПЛЕКСНАЯ  ОЦЕНКА  ТЕРРИТОРИИ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3.1. Оценка благоприятности территории для капитального строительства по комплексу природных, экологических и историко-культурных ограничений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Оценка благоприятности территории для капитального строительства проведена с учетом особенностей природно-климатических, инженерно-геологических, экологических и ландшафтных условий, а также ограничений – зон с особыми условиями использования, особо охраняемых природных территорий, наличия особо ценных земель и ландшафтов, объектов культурного наследия, обеспечения безопасности жизнедеятельности.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К сложным для строительства относятся территории с преобладанием средних и мощных торфяных грунтов, обширные заболоченные территории с уклонами поверхности менее 0.5 %.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Зоны с особыми условиями использования территории включают различные виды буферных зон (охранные зоны объектов транспортной и инженерной инфраструктуры, зоны санитарной охраны источников питьевого водоснабжения, водоохранные зоны водных объектов, территории и охранные зоны объектов историко-культурного наследия). В этих зонах имеются ограничения на хозяйственное использование территории, в т.ч. на размещение объектов капитального строительства, что позволяет отнести их к неблагоприятным или относительно неблагоприятным для капитального строительства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оценки является зонирование территории Курского района по степени благоприятности для размещения объектов капитального строительства регионального и местного значения.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На основе учета рассмотренных ограничений территория района дифференцирована по трём категориям: неблагоприятные, относительно благоприятные, благоприятные.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К неблагоприятным для размещения объектов капитального строительства территориям отнесены: зоны возможного возникновения чрезвычайных ситуаций природного, и техногенного характера, зоны затопления катастрофическим паводком и паводковыми водами 1% обеспеченности, зоны подтопления и оползней, особо охраняемые природные территории, торфяные месторождения с мощностью торфа 0,6 и более метров, участки территории с интенсивным развитием экзогенных геологических процессов, территории объектов культуры, земельные участки с особо ценными сельскохозяйственными землями.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К ограниченно благоприятным для размещения объектов капитального строительства территориям отнесены: заболоченные участки, участки территории со средней интенсивностью проявления экзогенных геологических процессов, строительство на которых возможно, но требует повышенных затрат на освоение, территории с особым природоохранным режимом.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К благоприятным территориям для целей капитального строительства отнесены территории свободные от ограничений.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Окончательный выбор зон размещения объектов капитального строительства будет делаться в результате анализа комплекса факторов, как ограничивающих возможное размещение объектов, так и наоборот стимулирующих такой выбор. Приоритет будет отдан удобно расположенным и обеспеченным транспортной и инженерной инфраструктурой территориям.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3.2. Оценка благоприятности территории для капитального строительства по инфраструктурной обеспеченности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Интегральная оценка территории по уровню развития инфраструктуры выполнена на основе частных оценок: обеспеченности транспортными путями; доступности по трудовым и социально-культурным связям; уровню энергоснабжения. Оценка обеспеченности территории транспортом проведена с учетом наличия  транспорта и технической категории дорог.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благоприятны для капитального строительства территории, на которых проложены автомобильные дороги общего пользования высокой категории, а также имеются другие виды транспорта (речной).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- благоприятные – имеются автодороги III и IV категории;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- неблагоприятные – имеются только дороги низкой категории.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Критерий энергообеспеченности территории: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- благоприятные при наличии крупных энергоисточников, подстанций 220/110 кв;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- ограниченно благоприятные – наличие подстанций 110/35кв;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- неблагоприятные – наличие ЛЭП низкого напряжения, либо ведомственных ЛЭП.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Благоприятными для капитального строительства по инфраструктурной обеспеченности являются зоны тяготения города Курска, а также территории, непосредственно примыкающие: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 </w:t>
      </w:r>
      <w:r w:rsidRPr="00475985">
        <w:rPr>
          <w:rFonts w:ascii="Times New Roman" w:hAnsi="Times New Roman" w:cs="Times New Roman"/>
          <w:sz w:val="28"/>
          <w:szCs w:val="28"/>
        </w:rPr>
        <w:tab/>
        <w:t xml:space="preserve">к магистральной автомобильной дороге Москва-Крым, между населенными пунктами 1-я Моква, Майская Заря, Жеребцово, Духовец;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 </w:t>
      </w:r>
      <w:r w:rsidRPr="00475985">
        <w:rPr>
          <w:rFonts w:ascii="Times New Roman" w:hAnsi="Times New Roman" w:cs="Times New Roman"/>
          <w:sz w:val="28"/>
          <w:szCs w:val="28"/>
        </w:rPr>
        <w:tab/>
        <w:t>к железной дороге Курск-Воронеж и параллельной ей автомобильной дороге класса «Б», между населенными пунктами Бол. Шумаково, Долевая, Горки;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 </w:t>
      </w:r>
      <w:r w:rsidRPr="00475985">
        <w:rPr>
          <w:rFonts w:ascii="Times New Roman" w:hAnsi="Times New Roman" w:cs="Times New Roman"/>
          <w:sz w:val="28"/>
          <w:szCs w:val="28"/>
        </w:rPr>
        <w:tab/>
        <w:t>к магистральной автомобильной дороге Курск-Воронеж и железной дороге Курск-Щигры, между населенными пунктами Долгое, Клюква, Постоялые Дворы, Ноздрачево;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Относительно благоприятные – территории, примыкающие к магистральным автомобильным дорогам Курск-Сотниково-2-е-Курасово, Курск-Верх.Медведица-2-е-Шемякино.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Неблагоприятные – прочие территории (между указанными магистралями, а также на отдаленных участках территории района).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3.3. Предложения по зонам размещения планируемых объектов капитального строительства регионального значения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Все объекты капитального строительства условно можно разделить на линейные, точечные и зональные: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 </w:t>
      </w:r>
      <w:r w:rsidRPr="00475985">
        <w:rPr>
          <w:rFonts w:ascii="Times New Roman" w:hAnsi="Times New Roman" w:cs="Times New Roman"/>
          <w:sz w:val="28"/>
          <w:szCs w:val="28"/>
        </w:rPr>
        <w:tab/>
        <w:t>линейные (транспортные, инженерные коммуникации, линии связи);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 </w:t>
      </w:r>
      <w:r w:rsidRPr="00475985">
        <w:rPr>
          <w:rFonts w:ascii="Times New Roman" w:hAnsi="Times New Roman" w:cs="Times New Roman"/>
          <w:sz w:val="28"/>
          <w:szCs w:val="28"/>
        </w:rPr>
        <w:tab/>
        <w:t>точечные, требующие относительно небольших по размеру площадок;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 </w:t>
      </w:r>
      <w:r w:rsidRPr="00475985">
        <w:rPr>
          <w:rFonts w:ascii="Times New Roman" w:hAnsi="Times New Roman" w:cs="Times New Roman"/>
          <w:sz w:val="28"/>
          <w:szCs w:val="28"/>
        </w:rPr>
        <w:tab/>
        <w:t>площадного характера, представляющие собой совокупность близко расположенных объектов, создаваемые для освоения полезных ископаемых, либо для длительного отдыха и туризма регионального значения.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lastRenderedPageBreak/>
        <w:t>Объекты точечного характера в основном представлены объектами производственной сферы (промышленность, агропромышленный комплекс, материально-техническое снабжение и т.д.), а также социальной инфраструктуры. Их размещение целесообразно в пределах уже сложившихся населенных пунктов, либо в непосредственной близости от них. Производственные объекты следует размещать в сложившихся, либо во вновь формирующихся производственных зонах, а объекты социальной сферы – в общественно-деловых зонах.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Объекты линейного характера регионального значения обеспечивают связь муниципальных районов с опорной транспортной сетью, системой магистральных линий электропередач, связи, газопроводов. По возможности, следует рассматривать их совмещенную трассировку в виде коридоров коммуникаций.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Размещение объектов площадного характера связано с технико-экономическими особенностями использования соответствующего вида природных ресурсов. Однако их размещение также должно носить групповой характер, преимущественно в сложившихся центрах соответствующей специализации.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Современное размещение объектов регионального значения характеризуется их концентрацией в Курске, где сосредоточена большая часть населения, промышленных предприятий, осуществляется основной объем капитального строительства.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 точечного характера в функциональной зоне интенсивного хозяйственного и градостроительного развития (в зоне влияния Курска) позволит минимизировать затраты на подготовку территории к строительству, эксплуатационные затраты (за счет развитой инфраструктуры) и затраты на доставку продукции потребителям.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Объекты нового строительства размещаются с учетом возможности кооперации с другими предприятиями в пределах промышленного узла (или промышленной зоны) в центрах с развитыми образовательным и научно-инновационным потенциалом.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4.  ПРОГНОЗ  ЧИСЛЕННОСТИ  НАСЕЛЕНИЯ  И  ФОРМИРОВАНИЕ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СТРУКТУРЫ  ЗАНЯТОСТИ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4.1. Демографическая  ситуация  в  районе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lastRenderedPageBreak/>
        <w:t>В Курском районе Курской области на 1 января 2007 г. проживали 50,6 тыс. человек, что составляет около 4,4% населения региона. 100% населения района сельское. В период с 1990 по 2000 г. численность населения района росла. С 2000 г. наблюдается ее сокращение вследствие как естественной, так и миграционной убыли.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С 1990 г. по 2008 г. численность населения района сократилась на 7,6%, что существенно ниже, чем в среднем по области (12,8%). При этом ситуация в районе наиболее благополучная среди всех муниципальных районов области, и по этому показателю район уступает лишь областному центру, Железнорогску и Курчатову.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Общий коэффициент рождаемости колеблется от 6,9 до 9,5 чел/тыс. жителей.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Коэффициент смертности колеблется в несколько больших пределах: от 20,5 до 21,4 чел/тыс. жителей.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Демографическая ситуация в Курском районе лучшая среди всех муниципальных районов области и характеризуется пониженным (по сравнению с другими районами) уровнем смертности, и сравнительно высоким уровнем рождаемости.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 среднесрочной перспективе (5-10 лет) для района будет характерен процесс стабилизации и возможного снижения уровня рождаемости, постепенного увеличения смертности, связанный с переходом в детородный возраст малочисленного поколения начала 90-х и перехода в возраст повышенной смертности (старше 55 лет) многочисленной группы населения, родившегося в первые, послевоенные годы.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На протяжении последних 7 лет в районе наблюдается устойчивый миграционный отток, связанный преимущественно с близостью крупного города, куда переезжают жители сельской местности. Отрицательный пик миграций наблюдался в 2004 г. В среднесрочной перспективе следует ожидать смены оттока – притоком населения, связанным с процессами субурбанизации.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4.2. Прогноз  численности  населения  района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Расчётная численность населения и возрастно-половой состав населения были определены на 3 даты: 2010 г. (первая очередь реализации Схемы), 2015 и 2020 гг. (расчётный срок реализации Схемы).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В основу «инерционного» сценария прогноза была положена гипотеза медленной стабилизации демографических показателей.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«Инновационный» сценарий основывался на более существенном росте рождаемости, увеличении продолжительности жизни на 5 и 3 года </w:t>
      </w:r>
      <w:r w:rsidRPr="00475985">
        <w:rPr>
          <w:rFonts w:ascii="Times New Roman" w:hAnsi="Times New Roman" w:cs="Times New Roman"/>
          <w:sz w:val="28"/>
          <w:szCs w:val="28"/>
        </w:rPr>
        <w:lastRenderedPageBreak/>
        <w:t>соответственно у мужчин и женщин и миграционный прирост на уровне 390 чел. в год, начиная с 2015 г. Для обоих сценариев прогнозировалось незначительное повышение возраста матери.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Оба варианта прогноза предполагают сокращение численности населения района. Однако, если при реализации инерционного сценария сокращение к 2020 г. составит более 18% (относительно 2005 г.), а численность населения упадет ниже 45 тыс. человек, инновационный сценарий предполагает рост численности населения на период до 2010 г., однако затем, вследствие демографических процессов и общего старения населения, произойдет некоторое сокращение рождаемости и рост смертности и к 2020 г. численность населения района вновь достигнет современного уровня.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Важно отметить, что в современных условиях, реализация инновационного сценария в полном объеме не возможна, однако к нему необходимо стремиться, проводя осмысленную миграционную политику и способствуя развитию субурбанизационных процессов.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Прогноз численности населения Курского района и области на период до 2020 г.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ab/>
        <w:t>Территория</w:t>
      </w:r>
      <w:r w:rsidRPr="00475985">
        <w:rPr>
          <w:rFonts w:ascii="Times New Roman" w:hAnsi="Times New Roman" w:cs="Times New Roman"/>
          <w:sz w:val="28"/>
          <w:szCs w:val="28"/>
        </w:rPr>
        <w:tab/>
        <w:t>2005</w:t>
      </w:r>
      <w:r w:rsidRPr="00475985">
        <w:rPr>
          <w:rFonts w:ascii="Times New Roman" w:hAnsi="Times New Roman" w:cs="Times New Roman"/>
          <w:sz w:val="28"/>
          <w:szCs w:val="28"/>
        </w:rPr>
        <w:tab/>
        <w:t>2010</w:t>
      </w:r>
      <w:r w:rsidRPr="00475985">
        <w:rPr>
          <w:rFonts w:ascii="Times New Roman" w:hAnsi="Times New Roman" w:cs="Times New Roman"/>
          <w:sz w:val="28"/>
          <w:szCs w:val="28"/>
        </w:rPr>
        <w:tab/>
        <w:t>2015</w:t>
      </w:r>
      <w:r w:rsidRPr="00475985">
        <w:rPr>
          <w:rFonts w:ascii="Times New Roman" w:hAnsi="Times New Roman" w:cs="Times New Roman"/>
          <w:sz w:val="28"/>
          <w:szCs w:val="28"/>
        </w:rPr>
        <w:tab/>
        <w:t>2020</w:t>
      </w:r>
      <w:r w:rsidRPr="00475985">
        <w:rPr>
          <w:rFonts w:ascii="Times New Roman" w:hAnsi="Times New Roman" w:cs="Times New Roman"/>
          <w:sz w:val="28"/>
          <w:szCs w:val="28"/>
        </w:rPr>
        <w:tab/>
        <w:t>Индекс роста (2020/2005)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Инерционный сценарий</w:t>
      </w:r>
      <w:r w:rsidRPr="00475985">
        <w:rPr>
          <w:rFonts w:ascii="Times New Roman" w:hAnsi="Times New Roman" w:cs="Times New Roman"/>
          <w:sz w:val="28"/>
          <w:szCs w:val="28"/>
        </w:rPr>
        <w:tab/>
        <w:t>Область</w:t>
      </w:r>
      <w:r w:rsidRPr="00475985">
        <w:rPr>
          <w:rFonts w:ascii="Times New Roman" w:hAnsi="Times New Roman" w:cs="Times New Roman"/>
          <w:sz w:val="28"/>
          <w:szCs w:val="28"/>
        </w:rPr>
        <w:tab/>
        <w:t>1199123</w:t>
      </w:r>
      <w:r w:rsidRPr="00475985">
        <w:rPr>
          <w:rFonts w:ascii="Times New Roman" w:hAnsi="Times New Roman" w:cs="Times New Roman"/>
          <w:sz w:val="28"/>
          <w:szCs w:val="28"/>
        </w:rPr>
        <w:tab/>
        <w:t>1133090</w:t>
      </w:r>
      <w:r w:rsidRPr="00475985">
        <w:rPr>
          <w:rFonts w:ascii="Times New Roman" w:hAnsi="Times New Roman" w:cs="Times New Roman"/>
          <w:sz w:val="28"/>
          <w:szCs w:val="28"/>
        </w:rPr>
        <w:tab/>
        <w:t>1078782</w:t>
      </w:r>
      <w:r w:rsidRPr="00475985">
        <w:rPr>
          <w:rFonts w:ascii="Times New Roman" w:hAnsi="Times New Roman" w:cs="Times New Roman"/>
          <w:sz w:val="28"/>
          <w:szCs w:val="28"/>
        </w:rPr>
        <w:tab/>
        <w:t>1026788</w:t>
      </w:r>
      <w:r w:rsidRPr="00475985">
        <w:rPr>
          <w:rFonts w:ascii="Times New Roman" w:hAnsi="Times New Roman" w:cs="Times New Roman"/>
          <w:sz w:val="28"/>
          <w:szCs w:val="28"/>
        </w:rPr>
        <w:tab/>
        <w:t>85,6%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ab/>
        <w:t>Курский район</w:t>
      </w:r>
      <w:r w:rsidRPr="00475985">
        <w:rPr>
          <w:rFonts w:ascii="Times New Roman" w:hAnsi="Times New Roman" w:cs="Times New Roman"/>
          <w:sz w:val="28"/>
          <w:szCs w:val="28"/>
        </w:rPr>
        <w:tab/>
        <w:t>53888</w:t>
      </w:r>
      <w:r w:rsidRPr="00475985">
        <w:rPr>
          <w:rFonts w:ascii="Times New Roman" w:hAnsi="Times New Roman" w:cs="Times New Roman"/>
          <w:sz w:val="28"/>
          <w:szCs w:val="28"/>
        </w:rPr>
        <w:tab/>
        <w:t>50675</w:t>
      </w:r>
      <w:r w:rsidRPr="00475985">
        <w:rPr>
          <w:rFonts w:ascii="Times New Roman" w:hAnsi="Times New Roman" w:cs="Times New Roman"/>
          <w:sz w:val="28"/>
          <w:szCs w:val="28"/>
        </w:rPr>
        <w:tab/>
        <w:t>47298</w:t>
      </w:r>
      <w:r w:rsidRPr="00475985">
        <w:rPr>
          <w:rFonts w:ascii="Times New Roman" w:hAnsi="Times New Roman" w:cs="Times New Roman"/>
          <w:sz w:val="28"/>
          <w:szCs w:val="28"/>
        </w:rPr>
        <w:tab/>
        <w:t>44100</w:t>
      </w:r>
      <w:r w:rsidRPr="00475985">
        <w:rPr>
          <w:rFonts w:ascii="Times New Roman" w:hAnsi="Times New Roman" w:cs="Times New Roman"/>
          <w:sz w:val="28"/>
          <w:szCs w:val="28"/>
        </w:rPr>
        <w:tab/>
        <w:t>81,8%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Инновационный сценарий</w:t>
      </w:r>
      <w:r w:rsidRPr="00475985">
        <w:rPr>
          <w:rFonts w:ascii="Times New Roman" w:hAnsi="Times New Roman" w:cs="Times New Roman"/>
          <w:sz w:val="28"/>
          <w:szCs w:val="28"/>
        </w:rPr>
        <w:tab/>
        <w:t>Область</w:t>
      </w:r>
      <w:r w:rsidRPr="00475985">
        <w:rPr>
          <w:rFonts w:ascii="Times New Roman" w:hAnsi="Times New Roman" w:cs="Times New Roman"/>
          <w:sz w:val="28"/>
          <w:szCs w:val="28"/>
        </w:rPr>
        <w:tab/>
        <w:t>1199123</w:t>
      </w:r>
      <w:r w:rsidRPr="00475985">
        <w:rPr>
          <w:rFonts w:ascii="Times New Roman" w:hAnsi="Times New Roman" w:cs="Times New Roman"/>
          <w:sz w:val="28"/>
          <w:szCs w:val="28"/>
        </w:rPr>
        <w:tab/>
        <w:t>1149050</w:t>
      </w:r>
      <w:r w:rsidRPr="00475985">
        <w:rPr>
          <w:rFonts w:ascii="Times New Roman" w:hAnsi="Times New Roman" w:cs="Times New Roman"/>
          <w:sz w:val="28"/>
          <w:szCs w:val="28"/>
        </w:rPr>
        <w:tab/>
        <w:t>1119680</w:t>
      </w:r>
      <w:r w:rsidRPr="00475985">
        <w:rPr>
          <w:rFonts w:ascii="Times New Roman" w:hAnsi="Times New Roman" w:cs="Times New Roman"/>
          <w:sz w:val="28"/>
          <w:szCs w:val="28"/>
        </w:rPr>
        <w:tab/>
        <w:t>1092060</w:t>
      </w:r>
      <w:r w:rsidRPr="00475985">
        <w:rPr>
          <w:rFonts w:ascii="Times New Roman" w:hAnsi="Times New Roman" w:cs="Times New Roman"/>
          <w:sz w:val="28"/>
          <w:szCs w:val="28"/>
        </w:rPr>
        <w:tab/>
        <w:t>91,1%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ab/>
        <w:t>Курский район</w:t>
      </w:r>
      <w:r w:rsidRPr="00475985">
        <w:rPr>
          <w:rFonts w:ascii="Times New Roman" w:hAnsi="Times New Roman" w:cs="Times New Roman"/>
          <w:sz w:val="28"/>
          <w:szCs w:val="28"/>
        </w:rPr>
        <w:tab/>
        <w:t>53888</w:t>
      </w:r>
      <w:r w:rsidRPr="00475985">
        <w:rPr>
          <w:rFonts w:ascii="Times New Roman" w:hAnsi="Times New Roman" w:cs="Times New Roman"/>
          <w:sz w:val="28"/>
          <w:szCs w:val="28"/>
        </w:rPr>
        <w:tab/>
        <w:t>52069</w:t>
      </w:r>
      <w:r w:rsidRPr="00475985">
        <w:rPr>
          <w:rFonts w:ascii="Times New Roman" w:hAnsi="Times New Roman" w:cs="Times New Roman"/>
          <w:sz w:val="28"/>
          <w:szCs w:val="28"/>
        </w:rPr>
        <w:tab/>
        <w:t>51127</w:t>
      </w:r>
      <w:r w:rsidRPr="00475985">
        <w:rPr>
          <w:rFonts w:ascii="Times New Roman" w:hAnsi="Times New Roman" w:cs="Times New Roman"/>
          <w:sz w:val="28"/>
          <w:szCs w:val="28"/>
        </w:rPr>
        <w:tab/>
        <w:t>50287</w:t>
      </w:r>
      <w:r w:rsidRPr="00475985">
        <w:rPr>
          <w:rFonts w:ascii="Times New Roman" w:hAnsi="Times New Roman" w:cs="Times New Roman"/>
          <w:sz w:val="28"/>
          <w:szCs w:val="28"/>
        </w:rPr>
        <w:tab/>
        <w:t>93,3%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За основу при планировании социально-экономического развития района принимается инновационный сценарий.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Таким образом, прогноз изменения численности населения по инновационному сценарию, при условии улучшения демографической ситуации и формировании миграционного прироста на уровне 390 человек в год, приведет к росту численности населения к 2015 г. и незначительному сокращению численности населения района в 2020 г. по сравнению с 2005 г. Одновременно произойдет изменение возрастной структуры населения в сторону увеличения доли населения старше трудоспособного возраста и уменьшению доли населения в трудоспособном возрасте.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4.3.  Система расселения района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Население расселено по территории района неравномерно. Плотность населения района варьируется от 9 чел/км. кв. на северо-западе и востоке района до 219 чел/км. кв. для территорий вплотную прилегающих к Курску с юго-запада. Население сконцентрировано в районах непосредственно прилегающих к областному центру (Ворошневский, Клюквинский, Щетинский сельсоветы), либо обладающих с ним лучшим транспортным сообщением (юго-восточная часть района). Основными осями расселения в районе являются долины рек: Тускарь, Большая Курица, Млодать, Сейм, Рать, Виногробль. Однако значительный вклад в изменение системы расселения внесла транспортная сеть: железная дорога Москва-Курск-Белгород, автотрасса М2, а также отдельные местные дороги.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 последние 2-4 года растет численность жителей муниципальных образований наиболее близких к областному центру (Ворошневского, Моковского, Клюквинского, Пашковского, Нижнемедведицкого, Щетинского) и напротив сокращается численность населения удаленных населенных пунктов (Верхнекасиновский, Брежневский, Винниковский, Троицкий, Полевской, Полянский сельсоветы). В остальных муниципальных образованиях численность населения достаточно стабильна.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 период между 1989, 2002 и 2008 годами, в районе значительно возросли доля и численность населения, проживающего в крупных сельских населенных пунктах (далее с.н.п.) с численностью населения более 1000 человек. В то же время сократилось количество, численность и доля населения, проживающего в средних (от 250 до 1000 жителей) и малых (от 100 до 250 жителей) с.н.п. В то же время в районе значительно (с 34 до 45) возросло число населенных пунктов с численностью населения менее 50 чел, притом, что количество населенных пунктов с населением менее 10 чел. достигло 16. Чаще всего, в подобных с.н.п., проживает преимущественно население пенсионного возраста, в результате чего к ним необходимо особое внимание со стороны систем социального обслуживания, в особенности – здравоохранения.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Таким образом, в настоящее время система расселения района претерпевает значительные изменения: продолжается концентрация населения в крупных населенных пунктах с населением более 1000 чел., одновременно идет рост населения в зоне, максимально приближенной к областному центру. Все это, вкупе с повсеместной естественной убылью населения приводит к ухудшению ситуации в небольших населенных пунктах, в особенности в удаленных частях района (на западе, северо-западе и северо-востоке).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lastRenderedPageBreak/>
        <w:t>5.4.  Формирование структуры занятости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 экономике района в 2006 г. было занято 8,9 тыс. человек, т.е. лишь 28% населения, находящегося в трудоспособном возрасте. Большая же часть работает либо в областном центре, либо за пределами района и области. Уровень официально зарегистрированной безработицы в районе достаточно низкий (2%), что связано, в первую очередь, с непопулярностью статуса безработного у населения и низким уровнем полезности регистрации в службе занятости.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 настоящее время более 50% занятости района приходится на бюджетный сектор (образование, здравоохранение, государственное управление, предоставление коммунальных услуг). В реальном секторе экономики (сельское хозяйство, обрабатывающее производство, производство и распределение электроэнергии, газа и воды) заняты 34,4% работающих или чуть более 3 тыс. чел. В сфере рыночных услуг района занято около 750 чел., что составляет около 8% всех занятых района.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В последние несколько лет в районе отмечается сокращение количества занятых в реальном секторе и рост занятости в сфере услуг. В то же время, занятость в бюджетном секторе оставалась достаточно стабильной.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 среднесрочной перспективе в связи с развитием экономики района можно ожидать некоторого роста занятости в промышленности, достаточно стабильного уровня занятости в сельском хозяйстве и значительного роста занятости в сфере обслуживания.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5.  ПРЕДЛОЖЕНИЯ  ПО  УКРУПНЕНИЮ  МУНИЦИПАЛЬНЫХ  ОБРАЗОВАНИЙ  КУРСКОГО  РАЙОНА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Преобразование муниципальных образований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1.</w:t>
      </w:r>
      <w:r w:rsidRPr="00475985">
        <w:rPr>
          <w:rFonts w:ascii="Times New Roman" w:hAnsi="Times New Roman" w:cs="Times New Roman"/>
          <w:sz w:val="28"/>
          <w:szCs w:val="28"/>
        </w:rPr>
        <w:tab/>
        <w:t>Преобразованием муниципальных образований является объединение муниципальных образований, разделение муниципальных образований.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2.</w:t>
      </w:r>
      <w:r w:rsidRPr="00475985">
        <w:rPr>
          <w:rFonts w:ascii="Times New Roman" w:hAnsi="Times New Roman" w:cs="Times New Roman"/>
          <w:sz w:val="28"/>
          <w:szCs w:val="28"/>
        </w:rPr>
        <w:tab/>
        <w:t>Упразднение поселений допускается на территориях с низкой плотностью сельского населения и в труднодоступных местностях, если численность населения сельского поселения составляет менее 100 человек и решение об упразднении поселения будет принято на сходе граждан, проживающих в указанном поселении.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Посредством документов территориального планирования может осуществляться упорядочение административно-территориального деления.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lastRenderedPageBreak/>
        <w:t xml:space="preserve">Каждый орган публичной власти в составе материалов по обоснованию проектов документов территориального планирования может подготавливать и направлять другим органам публичной власти предложения по изменению административно-территориальных границ (субъектов РФ, муниципальных образований). Органы публичной власти, обладающие полномочиями утверждать соответствующие административные границы, могут использовать свои документы территориального планирования, а также предложения, содержащиеся в документах территориального планирования других органов публичной власти, для принятия решений об изменении таких границ.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Смысл заложенного в ГрК РФ от 29.12.04 предельно простого механизма последовательного упорядочения, корректировки административно-территориального деления, исчерпывается тремя позициями: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1.</w:t>
      </w:r>
      <w:r w:rsidRPr="00475985">
        <w:rPr>
          <w:rFonts w:ascii="Times New Roman" w:hAnsi="Times New Roman" w:cs="Times New Roman"/>
          <w:sz w:val="28"/>
          <w:szCs w:val="28"/>
        </w:rPr>
        <w:tab/>
        <w:t>Территориальное планирование является самым действенным и адекватным инструментом для оценки сложившегося положения дел и выработки предложений по упорядочению ситуации с точки зрения комплексного взаимосвязанного развития территории в целом и ее отдельных компонентов.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2.</w:t>
      </w:r>
      <w:r w:rsidRPr="00475985">
        <w:rPr>
          <w:rFonts w:ascii="Times New Roman" w:hAnsi="Times New Roman" w:cs="Times New Roman"/>
          <w:sz w:val="28"/>
          <w:szCs w:val="28"/>
        </w:rPr>
        <w:tab/>
        <w:t>Существующие и измененные административные границы всегда фиксируют границы территории юрисдикции органов публичной власти, обладающих суверенным и неотъемлемым правом осуществлять в таких пределах территориальное планирование.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ПРЕДЛОЖЕНИЯ  ПО  УКРУПНЕНИЮ  МУНИЦИПАЛЬНЫХ ОБРАЗОВАНИЙ  КУРСКОГО  РАЙОНА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Муниципальные образования Курского района. Существующее положение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Средняя плотность населения ЦФО Российской Федерации составляет 58,4 человека на кв.км. Средняя плотность населения Курской области составляет 44,15 человек на кв. км, а средняя плотность населения Курского района составляет 305 человек на кв. км (согласно таблице, приведенной ниже), что в 6 раз выше среднеобластной плотности.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Площади муниципальных образований. Плотность населения (по данным 2006 г.)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(сельсовет)</w:t>
      </w:r>
      <w:r w:rsidRPr="00475985">
        <w:rPr>
          <w:rFonts w:ascii="Times New Roman" w:hAnsi="Times New Roman" w:cs="Times New Roman"/>
          <w:sz w:val="28"/>
          <w:szCs w:val="28"/>
        </w:rPr>
        <w:tab/>
        <w:t>Площадь (тыс.га)</w:t>
      </w:r>
      <w:r w:rsidRPr="00475985">
        <w:rPr>
          <w:rFonts w:ascii="Times New Roman" w:hAnsi="Times New Roman" w:cs="Times New Roman"/>
          <w:sz w:val="28"/>
          <w:szCs w:val="28"/>
        </w:rPr>
        <w:tab/>
        <w:t>Численность населения МО</w:t>
      </w:r>
      <w:r w:rsidRPr="00475985">
        <w:rPr>
          <w:rFonts w:ascii="Times New Roman" w:hAnsi="Times New Roman" w:cs="Times New Roman"/>
          <w:sz w:val="28"/>
          <w:szCs w:val="28"/>
        </w:rPr>
        <w:tab/>
        <w:t xml:space="preserve">Плотность населения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lastRenderedPageBreak/>
        <w:t>(чел./ тыс.га)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Бесединский</w:t>
      </w:r>
      <w:r w:rsidRPr="00475985">
        <w:rPr>
          <w:rFonts w:ascii="Times New Roman" w:hAnsi="Times New Roman" w:cs="Times New Roman"/>
          <w:sz w:val="28"/>
          <w:szCs w:val="28"/>
        </w:rPr>
        <w:tab/>
        <w:t>11,045</w:t>
      </w:r>
      <w:r w:rsidRPr="00475985">
        <w:rPr>
          <w:rFonts w:ascii="Times New Roman" w:hAnsi="Times New Roman" w:cs="Times New Roman"/>
          <w:sz w:val="28"/>
          <w:szCs w:val="28"/>
        </w:rPr>
        <w:tab/>
        <w:t>3088</w:t>
      </w:r>
      <w:r w:rsidRPr="00475985">
        <w:rPr>
          <w:rFonts w:ascii="Times New Roman" w:hAnsi="Times New Roman" w:cs="Times New Roman"/>
          <w:sz w:val="28"/>
          <w:szCs w:val="28"/>
        </w:rPr>
        <w:tab/>
        <w:t>280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Брежневский</w:t>
      </w:r>
      <w:r w:rsidRPr="00475985">
        <w:rPr>
          <w:rFonts w:ascii="Times New Roman" w:hAnsi="Times New Roman" w:cs="Times New Roman"/>
          <w:sz w:val="28"/>
          <w:szCs w:val="28"/>
        </w:rPr>
        <w:tab/>
        <w:t>8,463</w:t>
      </w:r>
      <w:r w:rsidRPr="00475985">
        <w:rPr>
          <w:rFonts w:ascii="Times New Roman" w:hAnsi="Times New Roman" w:cs="Times New Roman"/>
          <w:sz w:val="28"/>
          <w:szCs w:val="28"/>
        </w:rPr>
        <w:tab/>
        <w:t>702</w:t>
      </w:r>
      <w:r w:rsidRPr="00475985">
        <w:rPr>
          <w:rFonts w:ascii="Times New Roman" w:hAnsi="Times New Roman" w:cs="Times New Roman"/>
          <w:sz w:val="28"/>
          <w:szCs w:val="28"/>
        </w:rPr>
        <w:tab/>
        <w:t>83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Верхнекасиновский</w:t>
      </w:r>
      <w:r w:rsidRPr="00475985">
        <w:rPr>
          <w:rFonts w:ascii="Times New Roman" w:hAnsi="Times New Roman" w:cs="Times New Roman"/>
          <w:sz w:val="28"/>
          <w:szCs w:val="28"/>
        </w:rPr>
        <w:tab/>
        <w:t>6,027</w:t>
      </w:r>
      <w:r w:rsidRPr="00475985">
        <w:rPr>
          <w:rFonts w:ascii="Times New Roman" w:hAnsi="Times New Roman" w:cs="Times New Roman"/>
          <w:sz w:val="28"/>
          <w:szCs w:val="28"/>
        </w:rPr>
        <w:tab/>
        <w:t>845</w:t>
      </w:r>
      <w:r w:rsidRPr="00475985">
        <w:rPr>
          <w:rFonts w:ascii="Times New Roman" w:hAnsi="Times New Roman" w:cs="Times New Roman"/>
          <w:sz w:val="28"/>
          <w:szCs w:val="28"/>
        </w:rPr>
        <w:tab/>
        <w:t>140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Винниковский</w:t>
      </w:r>
      <w:r w:rsidRPr="00475985">
        <w:rPr>
          <w:rFonts w:ascii="Times New Roman" w:hAnsi="Times New Roman" w:cs="Times New Roman"/>
          <w:sz w:val="28"/>
          <w:szCs w:val="28"/>
        </w:rPr>
        <w:tab/>
        <w:t>6,503</w:t>
      </w:r>
      <w:r w:rsidRPr="00475985">
        <w:rPr>
          <w:rFonts w:ascii="Times New Roman" w:hAnsi="Times New Roman" w:cs="Times New Roman"/>
          <w:sz w:val="28"/>
          <w:szCs w:val="28"/>
        </w:rPr>
        <w:tab/>
        <w:t>1412</w:t>
      </w:r>
      <w:r w:rsidRPr="00475985">
        <w:rPr>
          <w:rFonts w:ascii="Times New Roman" w:hAnsi="Times New Roman" w:cs="Times New Roman"/>
          <w:sz w:val="28"/>
          <w:szCs w:val="28"/>
        </w:rPr>
        <w:tab/>
        <w:t>217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Ворошневский</w:t>
      </w:r>
      <w:r w:rsidRPr="00475985">
        <w:rPr>
          <w:rFonts w:ascii="Times New Roman" w:hAnsi="Times New Roman" w:cs="Times New Roman"/>
          <w:sz w:val="28"/>
          <w:szCs w:val="28"/>
        </w:rPr>
        <w:tab/>
        <w:t>2,266</w:t>
      </w:r>
      <w:r w:rsidRPr="00475985">
        <w:rPr>
          <w:rFonts w:ascii="Times New Roman" w:hAnsi="Times New Roman" w:cs="Times New Roman"/>
          <w:sz w:val="28"/>
          <w:szCs w:val="28"/>
        </w:rPr>
        <w:tab/>
        <w:t>5083</w:t>
      </w:r>
      <w:r w:rsidRPr="00475985">
        <w:rPr>
          <w:rFonts w:ascii="Times New Roman" w:hAnsi="Times New Roman" w:cs="Times New Roman"/>
          <w:sz w:val="28"/>
          <w:szCs w:val="28"/>
        </w:rPr>
        <w:tab/>
        <w:t>2243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Камышинский</w:t>
      </w:r>
      <w:r w:rsidRPr="00475985">
        <w:rPr>
          <w:rFonts w:ascii="Times New Roman" w:hAnsi="Times New Roman" w:cs="Times New Roman"/>
          <w:sz w:val="28"/>
          <w:szCs w:val="28"/>
        </w:rPr>
        <w:tab/>
        <w:t>6,566</w:t>
      </w:r>
      <w:r w:rsidRPr="00475985">
        <w:rPr>
          <w:rFonts w:ascii="Times New Roman" w:hAnsi="Times New Roman" w:cs="Times New Roman"/>
          <w:sz w:val="28"/>
          <w:szCs w:val="28"/>
        </w:rPr>
        <w:tab/>
        <w:t>3363</w:t>
      </w:r>
      <w:r w:rsidRPr="00475985">
        <w:rPr>
          <w:rFonts w:ascii="Times New Roman" w:hAnsi="Times New Roman" w:cs="Times New Roman"/>
          <w:sz w:val="28"/>
          <w:szCs w:val="28"/>
        </w:rPr>
        <w:tab/>
        <w:t>512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Клюквинский</w:t>
      </w:r>
      <w:r w:rsidRPr="00475985">
        <w:rPr>
          <w:rFonts w:ascii="Times New Roman" w:hAnsi="Times New Roman" w:cs="Times New Roman"/>
          <w:sz w:val="28"/>
          <w:szCs w:val="28"/>
        </w:rPr>
        <w:tab/>
        <w:t>10,834</w:t>
      </w:r>
      <w:r w:rsidRPr="00475985">
        <w:rPr>
          <w:rFonts w:ascii="Times New Roman" w:hAnsi="Times New Roman" w:cs="Times New Roman"/>
          <w:sz w:val="28"/>
          <w:szCs w:val="28"/>
        </w:rPr>
        <w:tab/>
        <w:t>10453</w:t>
      </w:r>
      <w:r w:rsidRPr="00475985">
        <w:rPr>
          <w:rFonts w:ascii="Times New Roman" w:hAnsi="Times New Roman" w:cs="Times New Roman"/>
          <w:sz w:val="28"/>
          <w:szCs w:val="28"/>
        </w:rPr>
        <w:tab/>
        <w:t>965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Лебяженский</w:t>
      </w:r>
      <w:r w:rsidRPr="00475985">
        <w:rPr>
          <w:rFonts w:ascii="Times New Roman" w:hAnsi="Times New Roman" w:cs="Times New Roman"/>
          <w:sz w:val="28"/>
          <w:szCs w:val="28"/>
        </w:rPr>
        <w:tab/>
        <w:t>12,820</w:t>
      </w:r>
      <w:r w:rsidRPr="00475985">
        <w:rPr>
          <w:rFonts w:ascii="Times New Roman" w:hAnsi="Times New Roman" w:cs="Times New Roman"/>
          <w:sz w:val="28"/>
          <w:szCs w:val="28"/>
        </w:rPr>
        <w:tab/>
        <w:t>3856</w:t>
      </w:r>
      <w:r w:rsidRPr="00475985">
        <w:rPr>
          <w:rFonts w:ascii="Times New Roman" w:hAnsi="Times New Roman" w:cs="Times New Roman"/>
          <w:sz w:val="28"/>
          <w:szCs w:val="28"/>
        </w:rPr>
        <w:tab/>
        <w:t>301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Моковский</w:t>
      </w:r>
      <w:r w:rsidRPr="00475985">
        <w:rPr>
          <w:rFonts w:ascii="Times New Roman" w:hAnsi="Times New Roman" w:cs="Times New Roman"/>
          <w:sz w:val="28"/>
          <w:szCs w:val="28"/>
        </w:rPr>
        <w:tab/>
        <w:t>3,860</w:t>
      </w:r>
      <w:r w:rsidRPr="00475985">
        <w:rPr>
          <w:rFonts w:ascii="Times New Roman" w:hAnsi="Times New Roman" w:cs="Times New Roman"/>
          <w:sz w:val="28"/>
          <w:szCs w:val="28"/>
        </w:rPr>
        <w:tab/>
        <w:t>3312</w:t>
      </w:r>
      <w:r w:rsidRPr="00475985">
        <w:rPr>
          <w:rFonts w:ascii="Times New Roman" w:hAnsi="Times New Roman" w:cs="Times New Roman"/>
          <w:sz w:val="28"/>
          <w:szCs w:val="28"/>
        </w:rPr>
        <w:tab/>
        <w:t>858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Муравлевский</w:t>
      </w:r>
      <w:r w:rsidRPr="00475985">
        <w:rPr>
          <w:rFonts w:ascii="Times New Roman" w:hAnsi="Times New Roman" w:cs="Times New Roman"/>
          <w:sz w:val="28"/>
          <w:szCs w:val="28"/>
        </w:rPr>
        <w:tab/>
        <w:t>9,699</w:t>
      </w:r>
      <w:r w:rsidRPr="00475985">
        <w:rPr>
          <w:rFonts w:ascii="Times New Roman" w:hAnsi="Times New Roman" w:cs="Times New Roman"/>
          <w:sz w:val="28"/>
          <w:szCs w:val="28"/>
        </w:rPr>
        <w:tab/>
        <w:t>1002</w:t>
      </w:r>
      <w:r w:rsidRPr="00475985">
        <w:rPr>
          <w:rFonts w:ascii="Times New Roman" w:hAnsi="Times New Roman" w:cs="Times New Roman"/>
          <w:sz w:val="28"/>
          <w:szCs w:val="28"/>
        </w:rPr>
        <w:tab/>
        <w:t>103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Нижнемедведицкий</w:t>
      </w:r>
      <w:r w:rsidRPr="00475985">
        <w:rPr>
          <w:rFonts w:ascii="Times New Roman" w:hAnsi="Times New Roman" w:cs="Times New Roman"/>
          <w:sz w:val="28"/>
          <w:szCs w:val="28"/>
        </w:rPr>
        <w:tab/>
        <w:t>6,246</w:t>
      </w:r>
      <w:r w:rsidRPr="00475985">
        <w:rPr>
          <w:rFonts w:ascii="Times New Roman" w:hAnsi="Times New Roman" w:cs="Times New Roman"/>
          <w:sz w:val="28"/>
          <w:szCs w:val="28"/>
        </w:rPr>
        <w:tab/>
        <w:t>2241</w:t>
      </w:r>
      <w:r w:rsidRPr="00475985">
        <w:rPr>
          <w:rFonts w:ascii="Times New Roman" w:hAnsi="Times New Roman" w:cs="Times New Roman"/>
          <w:sz w:val="28"/>
          <w:szCs w:val="28"/>
        </w:rPr>
        <w:tab/>
        <w:t>359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Новопоселеновский</w:t>
      </w:r>
      <w:r w:rsidRPr="00475985">
        <w:rPr>
          <w:rFonts w:ascii="Times New Roman" w:hAnsi="Times New Roman" w:cs="Times New Roman"/>
          <w:sz w:val="28"/>
          <w:szCs w:val="28"/>
        </w:rPr>
        <w:tab/>
        <w:t>6,377</w:t>
      </w:r>
      <w:r w:rsidRPr="00475985">
        <w:rPr>
          <w:rFonts w:ascii="Times New Roman" w:hAnsi="Times New Roman" w:cs="Times New Roman"/>
          <w:sz w:val="28"/>
          <w:szCs w:val="28"/>
        </w:rPr>
        <w:tab/>
        <w:t>3226</w:t>
      </w:r>
      <w:r w:rsidRPr="00475985">
        <w:rPr>
          <w:rFonts w:ascii="Times New Roman" w:hAnsi="Times New Roman" w:cs="Times New Roman"/>
          <w:sz w:val="28"/>
          <w:szCs w:val="28"/>
        </w:rPr>
        <w:tab/>
        <w:t>506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Ноздрачевский</w:t>
      </w:r>
      <w:r w:rsidRPr="00475985">
        <w:rPr>
          <w:rFonts w:ascii="Times New Roman" w:hAnsi="Times New Roman" w:cs="Times New Roman"/>
          <w:sz w:val="28"/>
          <w:szCs w:val="28"/>
        </w:rPr>
        <w:tab/>
        <w:t>7,265</w:t>
      </w:r>
      <w:r w:rsidRPr="00475985">
        <w:rPr>
          <w:rFonts w:ascii="Times New Roman" w:hAnsi="Times New Roman" w:cs="Times New Roman"/>
          <w:sz w:val="28"/>
          <w:szCs w:val="28"/>
        </w:rPr>
        <w:tab/>
        <w:t>864</w:t>
      </w:r>
      <w:r w:rsidRPr="00475985">
        <w:rPr>
          <w:rFonts w:ascii="Times New Roman" w:hAnsi="Times New Roman" w:cs="Times New Roman"/>
          <w:sz w:val="28"/>
          <w:szCs w:val="28"/>
        </w:rPr>
        <w:tab/>
        <w:t>119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Пашковский</w:t>
      </w:r>
      <w:r w:rsidRPr="00475985">
        <w:rPr>
          <w:rFonts w:ascii="Times New Roman" w:hAnsi="Times New Roman" w:cs="Times New Roman"/>
          <w:sz w:val="28"/>
          <w:szCs w:val="28"/>
        </w:rPr>
        <w:tab/>
        <w:t>6,133</w:t>
      </w:r>
      <w:r w:rsidRPr="00475985">
        <w:rPr>
          <w:rFonts w:ascii="Times New Roman" w:hAnsi="Times New Roman" w:cs="Times New Roman"/>
          <w:sz w:val="28"/>
          <w:szCs w:val="28"/>
        </w:rPr>
        <w:tab/>
        <w:t>2165</w:t>
      </w:r>
      <w:r w:rsidRPr="00475985">
        <w:rPr>
          <w:rFonts w:ascii="Times New Roman" w:hAnsi="Times New Roman" w:cs="Times New Roman"/>
          <w:sz w:val="28"/>
          <w:szCs w:val="28"/>
        </w:rPr>
        <w:tab/>
        <w:t>353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Полевской</w:t>
      </w:r>
      <w:r w:rsidRPr="00475985">
        <w:rPr>
          <w:rFonts w:ascii="Times New Roman" w:hAnsi="Times New Roman" w:cs="Times New Roman"/>
          <w:sz w:val="28"/>
          <w:szCs w:val="28"/>
        </w:rPr>
        <w:tab/>
        <w:t>9,604</w:t>
      </w:r>
      <w:r w:rsidRPr="00475985">
        <w:rPr>
          <w:rFonts w:ascii="Times New Roman" w:hAnsi="Times New Roman" w:cs="Times New Roman"/>
          <w:sz w:val="28"/>
          <w:szCs w:val="28"/>
        </w:rPr>
        <w:tab/>
        <w:t>3054</w:t>
      </w:r>
      <w:r w:rsidRPr="00475985">
        <w:rPr>
          <w:rFonts w:ascii="Times New Roman" w:hAnsi="Times New Roman" w:cs="Times New Roman"/>
          <w:sz w:val="28"/>
          <w:szCs w:val="28"/>
        </w:rPr>
        <w:tab/>
        <w:t>318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Полянский</w:t>
      </w:r>
      <w:r w:rsidRPr="00475985">
        <w:rPr>
          <w:rFonts w:ascii="Times New Roman" w:hAnsi="Times New Roman" w:cs="Times New Roman"/>
          <w:sz w:val="28"/>
          <w:szCs w:val="28"/>
        </w:rPr>
        <w:tab/>
        <w:t>11,015</w:t>
      </w:r>
      <w:r w:rsidRPr="00475985">
        <w:rPr>
          <w:rFonts w:ascii="Times New Roman" w:hAnsi="Times New Roman" w:cs="Times New Roman"/>
          <w:sz w:val="28"/>
          <w:szCs w:val="28"/>
        </w:rPr>
        <w:tab/>
        <w:t>2042</w:t>
      </w:r>
      <w:r w:rsidRPr="00475985">
        <w:rPr>
          <w:rFonts w:ascii="Times New Roman" w:hAnsi="Times New Roman" w:cs="Times New Roman"/>
          <w:sz w:val="28"/>
          <w:szCs w:val="28"/>
        </w:rPr>
        <w:tab/>
        <w:t>185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Рышковский</w:t>
      </w:r>
      <w:r w:rsidRPr="00475985">
        <w:rPr>
          <w:rFonts w:ascii="Times New Roman" w:hAnsi="Times New Roman" w:cs="Times New Roman"/>
          <w:sz w:val="28"/>
          <w:szCs w:val="28"/>
        </w:rPr>
        <w:tab/>
        <w:t>4,840</w:t>
      </w:r>
      <w:r w:rsidRPr="00475985">
        <w:rPr>
          <w:rFonts w:ascii="Times New Roman" w:hAnsi="Times New Roman" w:cs="Times New Roman"/>
          <w:sz w:val="28"/>
          <w:szCs w:val="28"/>
        </w:rPr>
        <w:tab/>
        <w:t>3179</w:t>
      </w:r>
      <w:r w:rsidRPr="00475985">
        <w:rPr>
          <w:rFonts w:ascii="Times New Roman" w:hAnsi="Times New Roman" w:cs="Times New Roman"/>
          <w:sz w:val="28"/>
          <w:szCs w:val="28"/>
        </w:rPr>
        <w:tab/>
        <w:t>657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Троицкий</w:t>
      </w:r>
      <w:r w:rsidRPr="00475985">
        <w:rPr>
          <w:rFonts w:ascii="Times New Roman" w:hAnsi="Times New Roman" w:cs="Times New Roman"/>
          <w:sz w:val="28"/>
          <w:szCs w:val="28"/>
        </w:rPr>
        <w:tab/>
        <w:t>6,644</w:t>
      </w:r>
      <w:r w:rsidRPr="00475985">
        <w:rPr>
          <w:rFonts w:ascii="Times New Roman" w:hAnsi="Times New Roman" w:cs="Times New Roman"/>
          <w:sz w:val="28"/>
          <w:szCs w:val="28"/>
        </w:rPr>
        <w:tab/>
        <w:t>697</w:t>
      </w:r>
      <w:r w:rsidRPr="00475985">
        <w:rPr>
          <w:rFonts w:ascii="Times New Roman" w:hAnsi="Times New Roman" w:cs="Times New Roman"/>
          <w:sz w:val="28"/>
          <w:szCs w:val="28"/>
        </w:rPr>
        <w:tab/>
        <w:t>105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Шемякинский</w:t>
      </w:r>
      <w:r w:rsidRPr="00475985">
        <w:rPr>
          <w:rFonts w:ascii="Times New Roman" w:hAnsi="Times New Roman" w:cs="Times New Roman"/>
          <w:sz w:val="28"/>
          <w:szCs w:val="28"/>
        </w:rPr>
        <w:tab/>
        <w:t>4,376</w:t>
      </w:r>
      <w:r w:rsidRPr="00475985">
        <w:rPr>
          <w:rFonts w:ascii="Times New Roman" w:hAnsi="Times New Roman" w:cs="Times New Roman"/>
          <w:sz w:val="28"/>
          <w:szCs w:val="28"/>
        </w:rPr>
        <w:tab/>
        <w:t>759</w:t>
      </w:r>
      <w:r w:rsidRPr="00475985">
        <w:rPr>
          <w:rFonts w:ascii="Times New Roman" w:hAnsi="Times New Roman" w:cs="Times New Roman"/>
          <w:sz w:val="28"/>
          <w:szCs w:val="28"/>
        </w:rPr>
        <w:tab/>
        <w:t>173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Шумаковский</w:t>
      </w:r>
      <w:r w:rsidRPr="00475985">
        <w:rPr>
          <w:rFonts w:ascii="Times New Roman" w:hAnsi="Times New Roman" w:cs="Times New Roman"/>
          <w:sz w:val="28"/>
          <w:szCs w:val="28"/>
        </w:rPr>
        <w:tab/>
        <w:t>5,634</w:t>
      </w:r>
      <w:r w:rsidRPr="00475985">
        <w:rPr>
          <w:rFonts w:ascii="Times New Roman" w:hAnsi="Times New Roman" w:cs="Times New Roman"/>
          <w:sz w:val="28"/>
          <w:szCs w:val="28"/>
        </w:rPr>
        <w:tab/>
        <w:t>1764</w:t>
      </w:r>
      <w:r w:rsidRPr="00475985">
        <w:rPr>
          <w:rFonts w:ascii="Times New Roman" w:hAnsi="Times New Roman" w:cs="Times New Roman"/>
          <w:sz w:val="28"/>
          <w:szCs w:val="28"/>
        </w:rPr>
        <w:tab/>
        <w:t>313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Щетинский</w:t>
      </w:r>
      <w:r w:rsidRPr="00475985">
        <w:rPr>
          <w:rFonts w:ascii="Times New Roman" w:hAnsi="Times New Roman" w:cs="Times New Roman"/>
          <w:sz w:val="28"/>
          <w:szCs w:val="28"/>
        </w:rPr>
        <w:tab/>
        <w:t>4,020</w:t>
      </w:r>
      <w:r w:rsidRPr="00475985">
        <w:rPr>
          <w:rFonts w:ascii="Times New Roman" w:hAnsi="Times New Roman" w:cs="Times New Roman"/>
          <w:sz w:val="28"/>
          <w:szCs w:val="28"/>
        </w:rPr>
        <w:tab/>
        <w:t>5053</w:t>
      </w:r>
      <w:r w:rsidRPr="00475985">
        <w:rPr>
          <w:rFonts w:ascii="Times New Roman" w:hAnsi="Times New Roman" w:cs="Times New Roman"/>
          <w:sz w:val="28"/>
          <w:szCs w:val="28"/>
        </w:rPr>
        <w:tab/>
        <w:t>1257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Итого:</w:t>
      </w:r>
      <w:r w:rsidRPr="00475985">
        <w:rPr>
          <w:rFonts w:ascii="Times New Roman" w:hAnsi="Times New Roman" w:cs="Times New Roman"/>
          <w:sz w:val="28"/>
          <w:szCs w:val="28"/>
        </w:rPr>
        <w:tab/>
        <w:t>150,237</w:t>
      </w:r>
      <w:r w:rsidRPr="00475985">
        <w:rPr>
          <w:rFonts w:ascii="Times New Roman" w:hAnsi="Times New Roman" w:cs="Times New Roman"/>
          <w:sz w:val="28"/>
          <w:szCs w:val="28"/>
        </w:rPr>
        <w:tab/>
        <w:t>50600</w:t>
      </w:r>
      <w:r w:rsidRPr="00475985">
        <w:rPr>
          <w:rFonts w:ascii="Times New Roman" w:hAnsi="Times New Roman" w:cs="Times New Roman"/>
          <w:sz w:val="28"/>
          <w:szCs w:val="28"/>
        </w:rPr>
        <w:tab/>
        <w:t>337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Плотность расселения Курского района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Число сельских населённых пунктов</w:t>
      </w:r>
      <w:r w:rsidRPr="00475985">
        <w:rPr>
          <w:rFonts w:ascii="Times New Roman" w:hAnsi="Times New Roman" w:cs="Times New Roman"/>
          <w:sz w:val="28"/>
          <w:szCs w:val="28"/>
        </w:rPr>
        <w:tab/>
        <w:t>Средняя людность сельских населённых пунктов, чел</w:t>
      </w:r>
      <w:r w:rsidRPr="00475985">
        <w:rPr>
          <w:rFonts w:ascii="Times New Roman" w:hAnsi="Times New Roman" w:cs="Times New Roman"/>
          <w:sz w:val="28"/>
          <w:szCs w:val="28"/>
        </w:rPr>
        <w:tab/>
        <w:t>Плотность (густота сети) сельских населённых пунктов (среднее число на 100 км2)</w:t>
      </w:r>
      <w:r w:rsidRPr="00475985">
        <w:rPr>
          <w:rFonts w:ascii="Times New Roman" w:hAnsi="Times New Roman" w:cs="Times New Roman"/>
          <w:sz w:val="28"/>
          <w:szCs w:val="28"/>
        </w:rPr>
        <w:tab/>
        <w:t>Плотность сельского населения, чел. на км2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191</w:t>
      </w:r>
      <w:r w:rsidRPr="00475985">
        <w:rPr>
          <w:rFonts w:ascii="Times New Roman" w:hAnsi="Times New Roman" w:cs="Times New Roman"/>
          <w:sz w:val="28"/>
          <w:szCs w:val="28"/>
        </w:rPr>
        <w:tab/>
        <w:t>207,0</w:t>
      </w:r>
      <w:r w:rsidRPr="00475985">
        <w:rPr>
          <w:rFonts w:ascii="Times New Roman" w:hAnsi="Times New Roman" w:cs="Times New Roman"/>
          <w:sz w:val="28"/>
          <w:szCs w:val="28"/>
        </w:rPr>
        <w:tab/>
        <w:t>7</w:t>
      </w:r>
      <w:r w:rsidRPr="00475985">
        <w:rPr>
          <w:rFonts w:ascii="Times New Roman" w:hAnsi="Times New Roman" w:cs="Times New Roman"/>
          <w:sz w:val="28"/>
          <w:szCs w:val="28"/>
        </w:rPr>
        <w:tab/>
        <w:t>31,0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Характеристика муниципальных образований района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Численность населения продолжает падать, что влечет за собой изменение социальной структуры обслуживания населения, концентрации ее в узловых населенных пунктах, которые становятся центрами роста территории. Для сельских территорий необходим дифференцированный подход: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</w:t>
      </w:r>
      <w:r w:rsidRPr="00475985">
        <w:rPr>
          <w:rFonts w:ascii="Times New Roman" w:hAnsi="Times New Roman" w:cs="Times New Roman"/>
          <w:sz w:val="28"/>
          <w:szCs w:val="28"/>
        </w:rPr>
        <w:tab/>
        <w:t>для дисперсных кустовых систем низового расселения – стимулирование развития центральных сельских населенных пунктов.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lastRenderedPageBreak/>
        <w:t></w:t>
      </w:r>
      <w:r w:rsidRPr="00475985">
        <w:rPr>
          <w:rFonts w:ascii="Times New Roman" w:hAnsi="Times New Roman" w:cs="Times New Roman"/>
          <w:sz w:val="28"/>
          <w:szCs w:val="28"/>
        </w:rPr>
        <w:tab/>
        <w:t>для линейных систем расселения – стимулирование формирования систем локальных субцентров с распределением центральных функций между несколькими звеньями линейных систем расселения.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Сохранение центрообразующих функций на уровне муниципальных образований может быть обусловлено лишь выполнением административных функций либо при наличии или проектируемом размещении в населённых пунктах градообразующей базы. 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Результатами укрупнения муниципальных образований станут: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</w:t>
      </w:r>
      <w:r w:rsidRPr="00475985">
        <w:rPr>
          <w:rFonts w:ascii="Times New Roman" w:hAnsi="Times New Roman" w:cs="Times New Roman"/>
          <w:sz w:val="28"/>
          <w:szCs w:val="28"/>
        </w:rPr>
        <w:tab/>
        <w:t>Укрупнение бюджетов муниципальных образований.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</w:t>
      </w:r>
      <w:r w:rsidRPr="00475985">
        <w:rPr>
          <w:rFonts w:ascii="Times New Roman" w:hAnsi="Times New Roman" w:cs="Times New Roman"/>
          <w:sz w:val="28"/>
          <w:szCs w:val="28"/>
        </w:rPr>
        <w:tab/>
        <w:t>Оптимизация использования сети учреждений социальной сферы.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</w:t>
      </w:r>
      <w:r w:rsidRPr="00475985">
        <w:rPr>
          <w:rFonts w:ascii="Times New Roman" w:hAnsi="Times New Roman" w:cs="Times New Roman"/>
          <w:sz w:val="28"/>
          <w:szCs w:val="28"/>
        </w:rPr>
        <w:tab/>
        <w:t>Сокращение издержек по управлению, в том числе транзакционных.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</w:t>
      </w:r>
      <w:r w:rsidRPr="00475985">
        <w:rPr>
          <w:rFonts w:ascii="Times New Roman" w:hAnsi="Times New Roman" w:cs="Times New Roman"/>
          <w:sz w:val="28"/>
          <w:szCs w:val="28"/>
        </w:rPr>
        <w:tab/>
        <w:t>Возможность проведения более эффективной инвестиционной политики (регулирование арендных платежей, формирование системы сервитутов и пр.).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Предложения по укрупнению муниципальных образований Курского района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Данные предложения разработаны в двух вариантах: варианте администрации района и варианте разработчиков Схемы территориального планирования Курского района.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Вариант Администрации Курского района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Всего предлагается 17 муниципальных образований: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1. Бесединский сельсовет: численность населения 3,1 тыс. человек. Площадь – 11,045 тыс.га. Населенных пунктов 16. Граничит с Клюквинским, Полевским, Муравленским, Троицким и Винниковским сельсоветами.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2. Винниковский сельсовет: численность населения 1,42 тыс. человек. Площадь – 6,503 тыс.га. Населенных пунктов 9. Граничит с Камышинским, Клюквинским, Бесединским и Троицким сельсоветами, Щигровским и Золотухинским районом.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3. Ворошневский сельсовет: численность населения 5,1 тыс. человек. Площадь – 2,266 тыс.га. Населенных пунктов 3. Граничит с Моковским и Новопоселеновским сельсоветами, муниципальным образованием городским округом Курск и Октябрьским районом.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4. Камышинский сельсовет: численность населения 4,23 тыс. человек. Площадь – 13,83 тыс.га. Населенных пунктов 11. Предлагается объединить Ноздрачевский и Камышинский сельсоветы. Граничит с Винниковским, Клюквинским, Щетинским и Пашковским сельсоветами, а также Золотухинским районом.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lastRenderedPageBreak/>
        <w:t>5. Клюквинский сельсовет: численность населения 10,45 тыс. человек. Площадь – 10,834 тыс.га. Населенных пунктов 9. Граничит с Щетинским, Камышинским, Винниковским, Бесединским, Шумаковским и Лебяженским сельсоветами, а также муниципальным образованием городским округом Курск.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6. Лебяженский сельсовет: численность населения 3,86 тыс. человек. Площадь – 12,82 га. Населенных пунктов 20. Граничит с Шумаковским, Полевским, Новопоселеновским, Рышковским, Клюквинским сельсоветами, а также городским округом Курск и Медвенским районом.</w:t>
      </w:r>
      <w:r w:rsidRPr="00475985">
        <w:rPr>
          <w:rFonts w:ascii="Times New Roman" w:hAnsi="Times New Roman" w:cs="Times New Roman"/>
          <w:sz w:val="28"/>
          <w:szCs w:val="28"/>
        </w:rPr>
        <w:cr/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7. Моковский сельсовет: численность населения 3,32 тыс. человек. Площадь – 3,86 тыс.га. Населенных пунктов 7. Граничит с Полянским и Ворошневским сельсоветами, а также городским округом Курск.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8. Муравлевский сельсовет: численность населения 1,0 тыс. человек. Площадь – 9,699 тыс.га. Населенных пунктов 11. Граничит с Беседенским и Полевским сельсоветами, а также Солнцевским районом.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9. Нижнемедведицкий сельсовет: численность населения 4,55 тыс. человек. Площадь – 25,112 тыс.га. Населенных пунктов 43. Предлагается объединить Брежневский, Верхнекасиновский, Шемякинский и Нижнемедведицкий сельсоветы. Граничит с Пашковским и Полянским сельсоветами, а также городским округом Курск, Октябрьским и Фатежским районами.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10. Новопоселеновский сельсовет: численность населения 3,23 тыс. человек. Площадь – 6,377 тыс.га. Населенных пунктов 7. Граничит с Ворошневским, Лебяженским, Рышковским сельсоветами, а также городским округом Курск, Медвенским и Октябрьским районами.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11. Пашковский сельсовет: численность населения 2,17 тыс. человек. Площадь – 6,133 тыс.га. Населенных пунктов 13. Граничит с Нижнемедведицким, Щетинским и Камышинским сельсоветами, а также Золотухинским районом.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12. Полевской сельсовет: численность населения 3,05 тыс. человек. Площадь – 9,604 тыс.га. Населенных пунктов 4. Граничит с Шумаковским, Беседенским, Муравленским и Лебяженским сельсоветами, а также Медвенским районом.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13. Полянский сельсовет: численность населения 2,1 тыс. человек. Площадь – 11,015 тыс.га. Населенных пунктов 13. Граничит с Нижнемедведицким и Моковским сельсоветами, а также городским округом Курск и Октябрьским районом.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14. Рышковский сельсовет: численность населения 3,18 тыс. человек. Площадь – 4,84 тыс.га. Населенных пунктов 4. Граничит с </w:t>
      </w:r>
      <w:r w:rsidRPr="00475985">
        <w:rPr>
          <w:rFonts w:ascii="Times New Roman" w:hAnsi="Times New Roman" w:cs="Times New Roman"/>
          <w:sz w:val="28"/>
          <w:szCs w:val="28"/>
        </w:rPr>
        <w:lastRenderedPageBreak/>
        <w:t>Новопоселеновским и Лебяженским сельсоветами, а также городским округом Курск.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15. Троицкий сельсовет: численность населения 0,7 тыс. человек. Площадь – 6,644 тыс.га. Населенных пунктов 7. Граничит с Винниковским и Беседенским сельсоветами, а также Щигровским районом.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16. Шумаковский сельсовет: численность населения 1,8 тыс. человек. Площадь – 5,634 тыс.га. Населенных пунктов 3. Граничит с Бесединским, Полевским, Лебяженским и Клюквинским сельсоветами.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17. Щетинский сельсовет: численность населения 5,1 тыс. человек. Площадь – 4,020 тыс.га. Населенных пунктов 10. Граничит с Камышинским, Клюквинским, Пашковским и Нижнемедведицким сельсоветами, а также городским округом Курск.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Рассматриваемый вариант предполагает большие диспропорции в уровне экономического развития, площади и численности населения между муниципальными образованиями – сельсоветами. Самыми крупными по площади становятся Камышинский (12,25 кв. км) и Нижнемедведицкий (26,41 кв. км) сельсоветы, в которых проживает достаточно небольшое количество населения – 4,3 и 4,54 тысячи человек соответственно. По численности населения самыми крупными остаются Клюквинский и Щетинский сельсоветы.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Вариант разработчиков Схемы территориального планирования Курского района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Всего предлагается 10 муниципальных образований: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1. Бесединский сельсовет: численность населения 3,8 тыс. человек. Площадь – 17,689 тыс.га. Населенных пунктов 23. Предлагается объединить Бесединский и Троицкий сельсоветы. Граничит с Клюквинским, Ноздрачевским, Полевским и Шумаковским сельсоветами, а также Щигровским районом.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2. Верхнекасиновский сельсовет: численность населения 2,3 тыс. человек. Площадь – 18,866 тыс.га. Населенных пунктов 33. Предлагается объединить Брежневский, Шемякинский и Верхнекасиновский сельсоветы. Граничит с Полянским и Пашковским сельсоветами, а также Золотухинским, Фатежским и Щигровским районами.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3. Клюквинский сельсовет: численность населения 10,45 тыс. человек. Площадь – 10,834 тыс.га. Населенных пунктов 9. Граничит с Щетинским, Камышинским, Винниковским, Бесединским, Шумаковским и Лебяженским </w:t>
      </w:r>
      <w:r w:rsidRPr="00475985">
        <w:rPr>
          <w:rFonts w:ascii="Times New Roman" w:hAnsi="Times New Roman" w:cs="Times New Roman"/>
          <w:sz w:val="28"/>
          <w:szCs w:val="28"/>
        </w:rPr>
        <w:lastRenderedPageBreak/>
        <w:t>сельсоветами, а также муниципальным образованием городским округом Курск.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4. Моковский сельсовет: численность населения 8,41 тыс. человек. Площадь – 6,126 тыс.га. Населенных пунктов 23. Предлагается объединить Моковский и Ворошневский сельсоветы. Граничит с Полянским и Рышковским сельсоветами, а также муниципальным образованием городским округом Курск и Октябрьским районом.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5. Ноздрачевский сельсовет: численность населения 10,69 тыс. человек. Площадь – 24,354 тыс.га. Населенных пунктов 30. Предлагается объединить Щетинский, Камышинский, Ноздрачевский и Винниковский сельсоветы. Граничит с Бесединским, Клюквинским и Пашковским сельсоветами, а также муниципальным образованием городским округом Курск, Золотухинским и Щигровским районами.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6. Пашковский сельсовет: численность населения 4,41 тыс. человек. Площадь – 12,379 тыс.га. Населенных пунктов 23. Предлагается объединить Нижнемедведицкий и Пашковский сельсоветы. Граничит с Ноздрачевским и Верхнекасиновским сельсоветами, а также муниципальным образованием городским округом Курск и Золотухинским районом.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7. Полевской сельсовет: численность населения 4,06 тыс. человек. Площадь – 19,303 тыс.га. Населенных пунктов 15. Предлагается объединить Полевской и Муравленский сельсоветы. Граничит с Шумаковским и Бесединским сельсоветами, а также Солнцевским и Медвенским районами.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8. Полянский сельсовет: численность населения 2,1 тыс. человек. Площадь – 11,015 тыс.га. Населенных пунктов 13. Граничит с Верхнекасимовским и Моковским сельсоветами, а также муниципальным образованием городским округом Курск и Октябрьским районом.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9. Рышковский сельсовет: численность населения 6,41 тыс. человек. Площадь – 11,217 тыс.га. Населенных пунктов 11. Предлагается объединить Рышковский и Новопселеновский сельсоветы. Граничит с Шумаковским и Моковским сельсоветами, а также городским округом Курск, Октябрьским и Медвенским районами.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>10. Шумаковский сельсовет: численность населения 5,62 тыс. человек. Площадь – 18,454 тыс.га. Населенных пунктов 23. Предлагается объединить Шумаковский и Лебяженский сельсоветы. Граничит с Полевским, Беседенским, Клюквинским и Рышковским сельсоветами, а также городским округом Курск и Медвенским районом.</w:t>
      </w:r>
    </w:p>
    <w:p w:rsidR="00475985" w:rsidRPr="00475985" w:rsidRDefault="00475985" w:rsidP="00475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985">
        <w:rPr>
          <w:rFonts w:ascii="Times New Roman" w:hAnsi="Times New Roman" w:cs="Times New Roman"/>
          <w:sz w:val="28"/>
          <w:szCs w:val="28"/>
        </w:rPr>
        <w:t xml:space="preserve">Рассматриваемый вариант предполагает уменьшение диспропорций в уровне экономического развития, площади и численности населения между сельсоветами, некоторая диспропорция сохраняется, но основывается она, </w:t>
      </w:r>
      <w:r w:rsidRPr="00475985">
        <w:rPr>
          <w:rFonts w:ascii="Times New Roman" w:hAnsi="Times New Roman" w:cs="Times New Roman"/>
          <w:sz w:val="28"/>
          <w:szCs w:val="28"/>
        </w:rPr>
        <w:lastRenderedPageBreak/>
        <w:t>прежде всего, на схемах развития транспортного комплекса, инженерной и социальной инфраструктур. Самыми крупными по площади становятся Бесединский (17,0 кв. км), Верхнекасиновский  (19,5 кв. км) и Ноздрачевский (22,75 кв. км) сельсоветы. По численности населения – Ноздрачевский (10,69 тыс. чел.), Клюквинский (10,45 тыс. чел.) и Моковский (8,41 тыс. чел.) сельсоветы, опирающиеся на полюса роста территории – узловые населенные пункты. В остальных сельсоветах численность населения становится в среднем 5-6 тысяч человек.</w:t>
      </w:r>
    </w:p>
    <w:p w:rsidR="00D2611F" w:rsidRDefault="00D2611F"/>
    <w:sectPr w:rsidR="00D2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02"/>
    <w:rsid w:val="001E7A02"/>
    <w:rsid w:val="00475985"/>
    <w:rsid w:val="00D2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5835</Words>
  <Characters>33261</Characters>
  <Application>Microsoft Office Word</Application>
  <DocSecurity>0</DocSecurity>
  <Lines>277</Lines>
  <Paragraphs>78</Paragraphs>
  <ScaleCrop>false</ScaleCrop>
  <Company/>
  <LinksUpToDate>false</LinksUpToDate>
  <CharactersWithSpaces>39018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2</cp:revision>
  <dcterms:created xsi:type="dcterms:W3CDTF">2010-12-16T13:13:00Z</dcterms:created>
  <dcterms:modified xsi:type="dcterms:W3CDTF">2010-12-16T13:14:00Z</dcterms:modified>
</cp:coreProperties>
</file>