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6.  ПРОСТРАНСТВЕННАЯ  ОРГАНИЗАЦ</w:t>
      </w:r>
      <w:bookmarkStart w:id="0" w:name="_GoBack"/>
      <w:bookmarkEnd w:id="0"/>
      <w:r w:rsidRPr="007959AC">
        <w:rPr>
          <w:rFonts w:ascii="Times New Roman" w:hAnsi="Times New Roman" w:cs="Times New Roman"/>
          <w:sz w:val="28"/>
          <w:szCs w:val="28"/>
        </w:rPr>
        <w:t>ИЯ  ЭКОНОМИКИ</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6.1. Развитие аграрного комплекса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Основной чертой, во многом определяющей специфику аграрного производства Курского района, является его пригородное положение. Близость района к областному центру даёт возможность сбыта продукции в крупном городе, предполагает производство наиболее товарных сельскохозяйственных культур, способствует кооперации производителей аграрной продукции с курскими предприятиями пищевой промышленности.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районе, в первую очередь, стоит развивать «пригородные» отрасли сельского хозяйства: птицеводство, овощеводство, производство молока и мяса, а производство зерновых и зернобобовых культур может рассматриваться как вспомогательная отрасль.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Курский район в агропромышленном комплексе Курской области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первую очередь, район выделяется большими объёмами производства птицеводческой продукции – птицефабрики района производят более 50% (по данным 2006 г  -  54%) яйца и более 30% мяса птицы в области. Также, в силу пригородного положения, в районе отмечаются большие площади плодово-ягодных насаждений: 3304 га, что составляет 15% от площади всех садов области. Также за счёт ЛПХ, в Курском районе  производится около 9% овощей.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животноводстве район выделяется только за счёт птицеводческой продукции, показатели производства молока, мяса свиней и КРС невелики относительно среднеобластных. В фермерских хозяйствах сосредоточена заметная часть поголовья КРС, а также овец и коз. Свиноводством фермерские хозяйства занимаются в незначительной мере.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целом, рентабельность сельскохозяйственного производства в районе, по данным 2006 года, близка к 0 и даже имеет отрицательные значения. При этом растениеводство рентабельно и показывает значения, заметно выше среднеобластных (37% в районе и 26,6% в области), производство животноводческой продукции убыточно. Такие показатели для пригородного района нехарактерны, что говорит о недостаточном использовании выгод экономико-географического положения.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дальнейшем возможны разные сценарии развития сельскохозяйственного производства в районе: либо число предприятий сократится в силу кооперации или прихода нескольких крупных собственников, либо </w:t>
      </w:r>
      <w:r w:rsidRPr="007959AC">
        <w:rPr>
          <w:rFonts w:ascii="Times New Roman" w:hAnsi="Times New Roman" w:cs="Times New Roman"/>
          <w:sz w:val="28"/>
          <w:szCs w:val="28"/>
        </w:rPr>
        <w:lastRenderedPageBreak/>
        <w:t xml:space="preserve">количество предприятий увеличится, и в районе будут действовать предприятия с узкой специализацией, производящих высокотоварную продукцию.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Перспективы развития и концептуальные основы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территориального планирования</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Основная цель территориального планирования (в соответствии со схемой территориального планирования Курской области) заключается в создании эффективного механизма функционирования отрасли на основе имеющегося потенциала для увеличения производимой продукции и обеспечении её сбалансированного развития на территории района.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Достижение цели предусматривает решение следующих задач:</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формирование законченных циклов производства и переработки сельскохозяйственной продукции, в том числе за счет строительства перерабатывающих предприятий и организации потребительских кооперативов;</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развитие хозяйств различных форм собственности и различной специализации;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улучшение информационно-консультационного обслуживания сельских товаропроизводителей;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улучшение качества жизни на селе путём разработки и реализации целевых подпрограмм социального и инженерного характера;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рационализация и комплексное использование земельных и водных ресурсов на основе экологического баланса системы «природа-общество-хозяйство».</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Курский район имеет ряд особенностей экономико-географического положения, которые являются основополагающими при разработке схемы территориального планирования агропромышленного комплекса: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высокий природно-ресурсный потенциал (агроклиматические условия, почвы);</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высокая доля населения, занятого в сельском хозяйстве;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наличие перерабатывающих предприятий в г. Курске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значительный потенциал сбыта сельскохозяйственной продукции за пределы района;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удобное транспортно-географическое положение как предпосылка возможного сбыта сельскохозяйственной продукции.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 xml:space="preserve">Дальнейшее развитие аграрной сферы Курского района будут определять различные факторы. С одной стороны, специфику сельского хозяйства определяют потребности жителей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г. Курска и Курской области в таких продуктах питания как яйцо, мясо, молоко и овощи, с другой стороны, на территории района происходят характерные для Курской области процессы – увеличивается производство сахарной свёклы и ячменя в соответствии со стратегиями основных агропромышленных холдингов. Также важным фактором является пригородное положение района, так как по мере развития г. Курска начнётся экспансия города на территорию район, что повлечёт за собой конфликт функций: селитебной, рекреационной, промышленной и сельскохозяйственной. Поэтому требуется создание определённых зон сельскохозяйственного использования территории района с учётом возможности роста г. Курска и выноса части промышленных, инфраструктурных и селитебных объектов за его территорию. </w:t>
      </w:r>
      <w:r w:rsidRPr="007959AC">
        <w:rPr>
          <w:rFonts w:ascii="Times New Roman" w:hAnsi="Times New Roman" w:cs="Times New Roman"/>
          <w:sz w:val="28"/>
          <w:szCs w:val="28"/>
        </w:rPr>
        <w:cr/>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целом, к приоритетным направлениям развития агропромышленного комплекса Курского района можно отнести: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1)</w:t>
      </w:r>
      <w:r w:rsidRPr="007959AC">
        <w:rPr>
          <w:rFonts w:ascii="Times New Roman" w:hAnsi="Times New Roman" w:cs="Times New Roman"/>
          <w:sz w:val="28"/>
          <w:szCs w:val="28"/>
        </w:rPr>
        <w:tab/>
        <w:t>Интенсификацию сельскохозяйственного производства, повышение технической оснащённости и обновление основных фондов;</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2)</w:t>
      </w:r>
      <w:r w:rsidRPr="007959AC">
        <w:rPr>
          <w:rFonts w:ascii="Times New Roman" w:hAnsi="Times New Roman" w:cs="Times New Roman"/>
          <w:sz w:val="28"/>
          <w:szCs w:val="28"/>
        </w:rPr>
        <w:tab/>
        <w:t>Комплексирование производства за счет строительства предприятий по переработке сельскохозяйственного сырья и более тесное взаимодействие с предприятиями пищевой промышленности в Курске и соседних районах, организация заготовительной сети;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3)</w:t>
      </w:r>
      <w:r w:rsidRPr="007959AC">
        <w:rPr>
          <w:rFonts w:ascii="Times New Roman" w:hAnsi="Times New Roman" w:cs="Times New Roman"/>
          <w:sz w:val="28"/>
          <w:szCs w:val="28"/>
        </w:rPr>
        <w:tab/>
        <w:t xml:space="preserve">Повышение доли обрабатываемых земель в структуре земельного фонда района;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4)</w:t>
      </w:r>
      <w:r w:rsidRPr="007959AC">
        <w:rPr>
          <w:rFonts w:ascii="Times New Roman" w:hAnsi="Times New Roman" w:cs="Times New Roman"/>
          <w:sz w:val="28"/>
          <w:szCs w:val="28"/>
        </w:rPr>
        <w:tab/>
        <w:t>Развитие высокотоварного растениеводства, ориентированного, в первую очередь, на потребности жителей г. Курска: овощеводство, зеленное хозяйство;</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5)</w:t>
      </w:r>
      <w:r w:rsidRPr="007959AC">
        <w:rPr>
          <w:rFonts w:ascii="Times New Roman" w:hAnsi="Times New Roman" w:cs="Times New Roman"/>
          <w:sz w:val="28"/>
          <w:szCs w:val="28"/>
        </w:rPr>
        <w:tab/>
        <w:t>Развитие скотоводства мясомолочного направления;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6)</w:t>
      </w:r>
      <w:r w:rsidRPr="007959AC">
        <w:rPr>
          <w:rFonts w:ascii="Times New Roman" w:hAnsi="Times New Roman" w:cs="Times New Roman"/>
          <w:sz w:val="28"/>
          <w:szCs w:val="28"/>
        </w:rPr>
        <w:tab/>
        <w:t xml:space="preserve">Развитие свиноводства;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7)</w:t>
      </w:r>
      <w:r w:rsidRPr="007959AC">
        <w:rPr>
          <w:rFonts w:ascii="Times New Roman" w:hAnsi="Times New Roman" w:cs="Times New Roman"/>
          <w:sz w:val="28"/>
          <w:szCs w:val="28"/>
        </w:rPr>
        <w:tab/>
        <w:t>Формирование «пригородного» типа животноводства – производство охлаждённого мяса и мясных полуфабрикатов;</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8)</w:t>
      </w:r>
      <w:r w:rsidRPr="007959AC">
        <w:rPr>
          <w:rFonts w:ascii="Times New Roman" w:hAnsi="Times New Roman" w:cs="Times New Roman"/>
          <w:sz w:val="28"/>
          <w:szCs w:val="28"/>
        </w:rPr>
        <w:tab/>
        <w:t>Организация хозяйств, занимающихся разведением декоративных растений для благоустройства и озеленения г. Курска.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Территориальная организация сельского хозяйства района может быть следующей: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На землях, расположенных наиболее близко к г. Курску следует размещать компактные и высокоинтенсивные хозяйства по производству </w:t>
      </w:r>
      <w:r w:rsidRPr="007959AC">
        <w:rPr>
          <w:rFonts w:ascii="Times New Roman" w:hAnsi="Times New Roman" w:cs="Times New Roman"/>
          <w:sz w:val="28"/>
          <w:szCs w:val="28"/>
        </w:rPr>
        <w:lastRenderedPageBreak/>
        <w:t xml:space="preserve">овощей и мяса. К таким хозяйствам относятся тепличные фермы, поля с применением новых высокоинтенсивных технологий, гидропоника. Животноводческие хозяйства в этой зоне предполагают стойловое содержание скота. К этой же зоне относятся и птицефабрики.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В следующей зоне, на большем удалении от г. Курска, возможна организация крупных животноводческих хозяйств, в том числе и молочных ферм, с подчинённым растениеводством, а также организация овощеводческих хозяйств, где выращиваются овощи открытого грунта. В качестве пастбищ, не допуская перевыпаса скота, возможно использование земель, расположенных в поймах рек, на склонах речных долин и оврагов. На периферийной части района возможна организация крупных растениеводческих хозяйств, ориентированных на потребности рынка сельскохозяйственной продукции, в первую очередь, занимающихся свекловодством и возделыванием ячменя.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Необходимо регулярное проведение лесо- и фитомелиоративных работ, проведение мероприятий по снего- и водозадержанию, принятие мер в целях предотвращения ветровой эрозии. Увеличение урожайности сельскохозяйственных культур ожидается при усовершенствовании агротехнологий и обновления машинно-тракторного парка.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Курский район имеет все предпосылки для организации комплексного сельскохозяйственного производства, чтобы удовлетворять как потребности жителей г. Курска в основных видах продовольствия. При планировании важно учесть животноводческую составляющую развития, так как с ростом благосостояния жителей областного центра и жителей района повышается потребление продуктов животного происхождения. Эта ниша в Курской области развита слабо, что может стать одним из полюсов роста района.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6.2. Развитие промышленности</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Промышленность в Курском районе не получила значительного развития. В 2006 г. в районе было зарегистрировано 38 предприятий по виду экономической деятельности «обрабатывающие производства» и 2 по виду «добыча полезных ископаемых».</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2006 г. обрабатывающими предприятиями района было произведено продукции на 556,8 млн. руб., в том числе 544,2 млн. предприятиями пищевой промышленности и 11,4 млн. руб. предприятиями по производству строительных материалов.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 xml:space="preserve">В 1999 г. в районе производились различные виды продукции пищевой промышленности: консервы, хлебобулочные изделия, цельномолочная продукция, масло, мука, крупа и т.д.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настоящее время основу промышленности района составляют производства мясных и колбасных изделий (на птицефабрике), производство муки. Из наиболее значимых предприятий следует назвать «Сырная долина» (Отрешково, производство сыра), «Отрешковское ХПП» (принадлежит к агрохолдингу «Молт-агро»), малые предприятия в Ворошнево и Сапогово по переработке мяса.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Производство важнейших видов промышленной продукции в Курском районе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ab/>
        <w:t>1999</w:t>
      </w:r>
      <w:r w:rsidRPr="007959AC">
        <w:rPr>
          <w:rFonts w:ascii="Times New Roman" w:hAnsi="Times New Roman" w:cs="Times New Roman"/>
          <w:sz w:val="28"/>
          <w:szCs w:val="28"/>
        </w:rPr>
        <w:tab/>
        <w:t>2000</w:t>
      </w:r>
      <w:r w:rsidRPr="007959AC">
        <w:rPr>
          <w:rFonts w:ascii="Times New Roman" w:hAnsi="Times New Roman" w:cs="Times New Roman"/>
          <w:sz w:val="28"/>
          <w:szCs w:val="28"/>
        </w:rPr>
        <w:tab/>
        <w:t>2001</w:t>
      </w:r>
      <w:r w:rsidRPr="007959AC">
        <w:rPr>
          <w:rFonts w:ascii="Times New Roman" w:hAnsi="Times New Roman" w:cs="Times New Roman"/>
          <w:sz w:val="28"/>
          <w:szCs w:val="28"/>
        </w:rPr>
        <w:tab/>
        <w:t>2002</w:t>
      </w:r>
      <w:r w:rsidRPr="007959AC">
        <w:rPr>
          <w:rFonts w:ascii="Times New Roman" w:hAnsi="Times New Roman" w:cs="Times New Roman"/>
          <w:sz w:val="28"/>
          <w:szCs w:val="28"/>
        </w:rPr>
        <w:tab/>
        <w:t>2003</w:t>
      </w:r>
      <w:r w:rsidRPr="007959AC">
        <w:rPr>
          <w:rFonts w:ascii="Times New Roman" w:hAnsi="Times New Roman" w:cs="Times New Roman"/>
          <w:sz w:val="28"/>
          <w:szCs w:val="28"/>
        </w:rPr>
        <w:tab/>
        <w:t>2004</w:t>
      </w:r>
      <w:r w:rsidRPr="007959AC">
        <w:rPr>
          <w:rFonts w:ascii="Times New Roman" w:hAnsi="Times New Roman" w:cs="Times New Roman"/>
          <w:sz w:val="28"/>
          <w:szCs w:val="28"/>
        </w:rPr>
        <w:tab/>
        <w:t>2005</w:t>
      </w:r>
      <w:r w:rsidRPr="007959AC">
        <w:rPr>
          <w:rFonts w:ascii="Times New Roman" w:hAnsi="Times New Roman" w:cs="Times New Roman"/>
          <w:sz w:val="28"/>
          <w:szCs w:val="28"/>
        </w:rPr>
        <w:tab/>
        <w:t>2006</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консервы всего,  туб</w:t>
      </w:r>
      <w:r w:rsidRPr="007959AC">
        <w:rPr>
          <w:rFonts w:ascii="Times New Roman" w:hAnsi="Times New Roman" w:cs="Times New Roman"/>
          <w:sz w:val="28"/>
          <w:szCs w:val="28"/>
        </w:rPr>
        <w:tab/>
        <w:t>773</w:t>
      </w:r>
      <w:r w:rsidRPr="007959AC">
        <w:rPr>
          <w:rFonts w:ascii="Times New Roman" w:hAnsi="Times New Roman" w:cs="Times New Roman"/>
          <w:sz w:val="28"/>
          <w:szCs w:val="28"/>
        </w:rPr>
        <w:tab/>
        <w:t>530</w:t>
      </w:r>
      <w:r w:rsidRPr="007959AC">
        <w:rPr>
          <w:rFonts w:ascii="Times New Roman" w:hAnsi="Times New Roman" w:cs="Times New Roman"/>
          <w:sz w:val="28"/>
          <w:szCs w:val="28"/>
        </w:rPr>
        <w:tab/>
        <w:t>166</w:t>
      </w:r>
      <w:r w:rsidRPr="007959AC">
        <w:rPr>
          <w:rFonts w:ascii="Times New Roman" w:hAnsi="Times New Roman" w:cs="Times New Roman"/>
          <w:sz w:val="28"/>
          <w:szCs w:val="28"/>
        </w:rPr>
        <w:tab/>
        <w:t>334</w:t>
      </w:r>
      <w:r w:rsidRPr="007959AC">
        <w:rPr>
          <w:rFonts w:ascii="Times New Roman" w:hAnsi="Times New Roman" w:cs="Times New Roman"/>
          <w:sz w:val="28"/>
          <w:szCs w:val="28"/>
        </w:rPr>
        <w:tab/>
        <w:t>283</w:t>
      </w:r>
      <w:r w:rsidRPr="007959AC">
        <w:rPr>
          <w:rFonts w:ascii="Times New Roman" w:hAnsi="Times New Roman" w:cs="Times New Roman"/>
          <w:sz w:val="28"/>
          <w:szCs w:val="28"/>
        </w:rPr>
        <w:tab/>
        <w:t>-</w:t>
      </w:r>
      <w:r w:rsidRPr="007959AC">
        <w:rPr>
          <w:rFonts w:ascii="Times New Roman" w:hAnsi="Times New Roman" w:cs="Times New Roman"/>
          <w:sz w:val="28"/>
          <w:szCs w:val="28"/>
        </w:rPr>
        <w:tab/>
      </w:r>
      <w:r w:rsidRPr="007959AC">
        <w:rPr>
          <w:rFonts w:ascii="Times New Roman" w:hAnsi="Times New Roman" w:cs="Times New Roman"/>
          <w:sz w:val="28"/>
          <w:szCs w:val="28"/>
        </w:rPr>
        <w:tab/>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хлеб и хлебобулочные изделия, т</w:t>
      </w:r>
      <w:r w:rsidRPr="007959AC">
        <w:rPr>
          <w:rFonts w:ascii="Times New Roman" w:hAnsi="Times New Roman" w:cs="Times New Roman"/>
          <w:sz w:val="28"/>
          <w:szCs w:val="28"/>
        </w:rPr>
        <w:tab/>
        <w:t>1743</w:t>
      </w:r>
      <w:r w:rsidRPr="007959AC">
        <w:rPr>
          <w:rFonts w:ascii="Times New Roman" w:hAnsi="Times New Roman" w:cs="Times New Roman"/>
          <w:sz w:val="28"/>
          <w:szCs w:val="28"/>
        </w:rPr>
        <w:tab/>
        <w:t>1701</w:t>
      </w:r>
      <w:r w:rsidRPr="007959AC">
        <w:rPr>
          <w:rFonts w:ascii="Times New Roman" w:hAnsi="Times New Roman" w:cs="Times New Roman"/>
          <w:sz w:val="28"/>
          <w:szCs w:val="28"/>
        </w:rPr>
        <w:tab/>
        <w:t>1652</w:t>
      </w:r>
      <w:r w:rsidRPr="007959AC">
        <w:rPr>
          <w:rFonts w:ascii="Times New Roman" w:hAnsi="Times New Roman" w:cs="Times New Roman"/>
          <w:sz w:val="28"/>
          <w:szCs w:val="28"/>
        </w:rPr>
        <w:tab/>
        <w:t>1730</w:t>
      </w:r>
      <w:r w:rsidRPr="007959AC">
        <w:rPr>
          <w:rFonts w:ascii="Times New Roman" w:hAnsi="Times New Roman" w:cs="Times New Roman"/>
          <w:sz w:val="28"/>
          <w:szCs w:val="28"/>
        </w:rPr>
        <w:tab/>
        <w:t>1616</w:t>
      </w:r>
      <w:r w:rsidRPr="007959AC">
        <w:rPr>
          <w:rFonts w:ascii="Times New Roman" w:hAnsi="Times New Roman" w:cs="Times New Roman"/>
          <w:sz w:val="28"/>
          <w:szCs w:val="28"/>
        </w:rPr>
        <w:tab/>
        <w:t>1165</w:t>
      </w:r>
      <w:r w:rsidRPr="007959AC">
        <w:rPr>
          <w:rFonts w:ascii="Times New Roman" w:hAnsi="Times New Roman" w:cs="Times New Roman"/>
          <w:sz w:val="28"/>
          <w:szCs w:val="28"/>
        </w:rPr>
        <w:tab/>
      </w:r>
      <w:r w:rsidRPr="007959AC">
        <w:rPr>
          <w:rFonts w:ascii="Times New Roman" w:hAnsi="Times New Roman" w:cs="Times New Roman"/>
          <w:sz w:val="28"/>
          <w:szCs w:val="28"/>
        </w:rPr>
        <w:tab/>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колбасные изделия, т</w:t>
      </w:r>
      <w:r w:rsidRPr="007959AC">
        <w:rPr>
          <w:rFonts w:ascii="Times New Roman" w:hAnsi="Times New Roman" w:cs="Times New Roman"/>
          <w:sz w:val="28"/>
          <w:szCs w:val="28"/>
        </w:rPr>
        <w:tab/>
        <w:t>825</w:t>
      </w:r>
      <w:r w:rsidRPr="007959AC">
        <w:rPr>
          <w:rFonts w:ascii="Times New Roman" w:hAnsi="Times New Roman" w:cs="Times New Roman"/>
          <w:sz w:val="28"/>
          <w:szCs w:val="28"/>
        </w:rPr>
        <w:tab/>
        <w:t>661</w:t>
      </w:r>
      <w:r w:rsidRPr="007959AC">
        <w:rPr>
          <w:rFonts w:ascii="Times New Roman" w:hAnsi="Times New Roman" w:cs="Times New Roman"/>
          <w:sz w:val="28"/>
          <w:szCs w:val="28"/>
        </w:rPr>
        <w:tab/>
        <w:t>861</w:t>
      </w:r>
      <w:r w:rsidRPr="007959AC">
        <w:rPr>
          <w:rFonts w:ascii="Times New Roman" w:hAnsi="Times New Roman" w:cs="Times New Roman"/>
          <w:sz w:val="28"/>
          <w:szCs w:val="28"/>
        </w:rPr>
        <w:tab/>
        <w:t>1395</w:t>
      </w:r>
      <w:r w:rsidRPr="007959AC">
        <w:rPr>
          <w:rFonts w:ascii="Times New Roman" w:hAnsi="Times New Roman" w:cs="Times New Roman"/>
          <w:sz w:val="28"/>
          <w:szCs w:val="28"/>
        </w:rPr>
        <w:tab/>
        <w:t>1209</w:t>
      </w:r>
      <w:r w:rsidRPr="007959AC">
        <w:rPr>
          <w:rFonts w:ascii="Times New Roman" w:hAnsi="Times New Roman" w:cs="Times New Roman"/>
          <w:sz w:val="28"/>
          <w:szCs w:val="28"/>
        </w:rPr>
        <w:tab/>
        <w:t>1397</w:t>
      </w:r>
      <w:r w:rsidRPr="007959AC">
        <w:rPr>
          <w:rFonts w:ascii="Times New Roman" w:hAnsi="Times New Roman" w:cs="Times New Roman"/>
          <w:sz w:val="28"/>
          <w:szCs w:val="28"/>
        </w:rPr>
        <w:tab/>
        <w:t>3655</w:t>
      </w:r>
      <w:r w:rsidRPr="007959AC">
        <w:rPr>
          <w:rFonts w:ascii="Times New Roman" w:hAnsi="Times New Roman" w:cs="Times New Roman"/>
          <w:sz w:val="28"/>
          <w:szCs w:val="28"/>
        </w:rPr>
        <w:tab/>
        <w:t>1789</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цельномолочная продукция, т</w:t>
      </w:r>
      <w:r w:rsidRPr="007959AC">
        <w:rPr>
          <w:rFonts w:ascii="Times New Roman" w:hAnsi="Times New Roman" w:cs="Times New Roman"/>
          <w:sz w:val="28"/>
          <w:szCs w:val="28"/>
        </w:rPr>
        <w:tab/>
        <w:t>316</w:t>
      </w:r>
      <w:r w:rsidRPr="007959AC">
        <w:rPr>
          <w:rFonts w:ascii="Times New Roman" w:hAnsi="Times New Roman" w:cs="Times New Roman"/>
          <w:sz w:val="28"/>
          <w:szCs w:val="28"/>
        </w:rPr>
        <w:tab/>
        <w:t>173</w:t>
      </w:r>
      <w:r w:rsidRPr="007959AC">
        <w:rPr>
          <w:rFonts w:ascii="Times New Roman" w:hAnsi="Times New Roman" w:cs="Times New Roman"/>
          <w:sz w:val="28"/>
          <w:szCs w:val="28"/>
        </w:rPr>
        <w:tab/>
        <w:t>103</w:t>
      </w:r>
      <w:r w:rsidRPr="007959AC">
        <w:rPr>
          <w:rFonts w:ascii="Times New Roman" w:hAnsi="Times New Roman" w:cs="Times New Roman"/>
          <w:sz w:val="28"/>
          <w:szCs w:val="28"/>
        </w:rPr>
        <w:tab/>
        <w:t>62</w:t>
      </w:r>
      <w:r w:rsidRPr="007959AC">
        <w:rPr>
          <w:rFonts w:ascii="Times New Roman" w:hAnsi="Times New Roman" w:cs="Times New Roman"/>
          <w:sz w:val="28"/>
          <w:szCs w:val="28"/>
        </w:rPr>
        <w:tab/>
        <w:t>120</w:t>
      </w:r>
      <w:r w:rsidRPr="007959AC">
        <w:rPr>
          <w:rFonts w:ascii="Times New Roman" w:hAnsi="Times New Roman" w:cs="Times New Roman"/>
          <w:sz w:val="28"/>
          <w:szCs w:val="28"/>
        </w:rPr>
        <w:tab/>
        <w:t>-</w:t>
      </w:r>
      <w:r w:rsidRPr="007959AC">
        <w:rPr>
          <w:rFonts w:ascii="Times New Roman" w:hAnsi="Times New Roman" w:cs="Times New Roman"/>
          <w:sz w:val="28"/>
          <w:szCs w:val="28"/>
        </w:rPr>
        <w:tab/>
      </w:r>
      <w:r w:rsidRPr="007959AC">
        <w:rPr>
          <w:rFonts w:ascii="Times New Roman" w:hAnsi="Times New Roman" w:cs="Times New Roman"/>
          <w:sz w:val="28"/>
          <w:szCs w:val="28"/>
        </w:rPr>
        <w:tab/>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масло животное, т</w:t>
      </w:r>
      <w:r w:rsidRPr="007959AC">
        <w:rPr>
          <w:rFonts w:ascii="Times New Roman" w:hAnsi="Times New Roman" w:cs="Times New Roman"/>
          <w:sz w:val="28"/>
          <w:szCs w:val="28"/>
        </w:rPr>
        <w:tab/>
        <w:t>12</w:t>
      </w:r>
      <w:r w:rsidRPr="007959AC">
        <w:rPr>
          <w:rFonts w:ascii="Times New Roman" w:hAnsi="Times New Roman" w:cs="Times New Roman"/>
          <w:sz w:val="28"/>
          <w:szCs w:val="28"/>
        </w:rPr>
        <w:tab/>
        <w:t>8</w:t>
      </w:r>
      <w:r w:rsidRPr="007959AC">
        <w:rPr>
          <w:rFonts w:ascii="Times New Roman" w:hAnsi="Times New Roman" w:cs="Times New Roman"/>
          <w:sz w:val="28"/>
          <w:szCs w:val="28"/>
        </w:rPr>
        <w:tab/>
        <w:t>7</w:t>
      </w:r>
      <w:r w:rsidRPr="007959AC">
        <w:rPr>
          <w:rFonts w:ascii="Times New Roman" w:hAnsi="Times New Roman" w:cs="Times New Roman"/>
          <w:sz w:val="28"/>
          <w:szCs w:val="28"/>
        </w:rPr>
        <w:tab/>
        <w:t>9</w:t>
      </w:r>
      <w:r w:rsidRPr="007959AC">
        <w:rPr>
          <w:rFonts w:ascii="Times New Roman" w:hAnsi="Times New Roman" w:cs="Times New Roman"/>
          <w:sz w:val="28"/>
          <w:szCs w:val="28"/>
        </w:rPr>
        <w:tab/>
        <w:t>10</w:t>
      </w:r>
      <w:r w:rsidRPr="007959AC">
        <w:rPr>
          <w:rFonts w:ascii="Times New Roman" w:hAnsi="Times New Roman" w:cs="Times New Roman"/>
          <w:sz w:val="28"/>
          <w:szCs w:val="28"/>
        </w:rPr>
        <w:tab/>
        <w:t>-</w:t>
      </w:r>
      <w:r w:rsidRPr="007959AC">
        <w:rPr>
          <w:rFonts w:ascii="Times New Roman" w:hAnsi="Times New Roman" w:cs="Times New Roman"/>
          <w:sz w:val="28"/>
          <w:szCs w:val="28"/>
        </w:rPr>
        <w:tab/>
      </w:r>
      <w:r w:rsidRPr="007959AC">
        <w:rPr>
          <w:rFonts w:ascii="Times New Roman" w:hAnsi="Times New Roman" w:cs="Times New Roman"/>
          <w:sz w:val="28"/>
          <w:szCs w:val="28"/>
        </w:rPr>
        <w:tab/>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мука, т</w:t>
      </w:r>
      <w:r w:rsidRPr="007959AC">
        <w:rPr>
          <w:rFonts w:ascii="Times New Roman" w:hAnsi="Times New Roman" w:cs="Times New Roman"/>
          <w:sz w:val="28"/>
          <w:szCs w:val="28"/>
        </w:rPr>
        <w:tab/>
        <w:t>1666</w:t>
      </w:r>
      <w:r w:rsidRPr="007959AC">
        <w:rPr>
          <w:rFonts w:ascii="Times New Roman" w:hAnsi="Times New Roman" w:cs="Times New Roman"/>
          <w:sz w:val="28"/>
          <w:szCs w:val="28"/>
        </w:rPr>
        <w:tab/>
        <w:t>1339</w:t>
      </w:r>
      <w:r w:rsidRPr="007959AC">
        <w:rPr>
          <w:rFonts w:ascii="Times New Roman" w:hAnsi="Times New Roman" w:cs="Times New Roman"/>
          <w:sz w:val="28"/>
          <w:szCs w:val="28"/>
        </w:rPr>
        <w:tab/>
        <w:t>909</w:t>
      </w:r>
      <w:r w:rsidRPr="007959AC">
        <w:rPr>
          <w:rFonts w:ascii="Times New Roman" w:hAnsi="Times New Roman" w:cs="Times New Roman"/>
          <w:sz w:val="28"/>
          <w:szCs w:val="28"/>
        </w:rPr>
        <w:tab/>
        <w:t>364</w:t>
      </w:r>
      <w:r w:rsidRPr="007959AC">
        <w:rPr>
          <w:rFonts w:ascii="Times New Roman" w:hAnsi="Times New Roman" w:cs="Times New Roman"/>
          <w:sz w:val="28"/>
          <w:szCs w:val="28"/>
        </w:rPr>
        <w:tab/>
        <w:t>131</w:t>
      </w:r>
      <w:r w:rsidRPr="007959AC">
        <w:rPr>
          <w:rFonts w:ascii="Times New Roman" w:hAnsi="Times New Roman" w:cs="Times New Roman"/>
          <w:sz w:val="28"/>
          <w:szCs w:val="28"/>
        </w:rPr>
        <w:tab/>
        <w:t>50</w:t>
      </w:r>
      <w:r w:rsidRPr="007959AC">
        <w:rPr>
          <w:rFonts w:ascii="Times New Roman" w:hAnsi="Times New Roman" w:cs="Times New Roman"/>
          <w:sz w:val="28"/>
          <w:szCs w:val="28"/>
        </w:rPr>
        <w:tab/>
        <w:t>970</w:t>
      </w:r>
      <w:r w:rsidRPr="007959AC">
        <w:rPr>
          <w:rFonts w:ascii="Times New Roman" w:hAnsi="Times New Roman" w:cs="Times New Roman"/>
          <w:sz w:val="28"/>
          <w:szCs w:val="28"/>
        </w:rPr>
        <w:tab/>
        <w:t>1076</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крупа, т</w:t>
      </w:r>
      <w:r w:rsidRPr="007959AC">
        <w:rPr>
          <w:rFonts w:ascii="Times New Roman" w:hAnsi="Times New Roman" w:cs="Times New Roman"/>
          <w:sz w:val="28"/>
          <w:szCs w:val="28"/>
        </w:rPr>
        <w:tab/>
        <w:t>18</w:t>
      </w:r>
      <w:r w:rsidRPr="007959AC">
        <w:rPr>
          <w:rFonts w:ascii="Times New Roman" w:hAnsi="Times New Roman" w:cs="Times New Roman"/>
          <w:sz w:val="28"/>
          <w:szCs w:val="28"/>
        </w:rPr>
        <w:tab/>
        <w:t>195</w:t>
      </w:r>
      <w:r w:rsidRPr="007959AC">
        <w:rPr>
          <w:rFonts w:ascii="Times New Roman" w:hAnsi="Times New Roman" w:cs="Times New Roman"/>
          <w:sz w:val="28"/>
          <w:szCs w:val="28"/>
        </w:rPr>
        <w:tab/>
        <w:t>72</w:t>
      </w:r>
      <w:r w:rsidRPr="007959AC">
        <w:rPr>
          <w:rFonts w:ascii="Times New Roman" w:hAnsi="Times New Roman" w:cs="Times New Roman"/>
          <w:sz w:val="28"/>
          <w:szCs w:val="28"/>
        </w:rPr>
        <w:tab/>
        <w:t>111</w:t>
      </w:r>
      <w:r w:rsidRPr="007959AC">
        <w:rPr>
          <w:rFonts w:ascii="Times New Roman" w:hAnsi="Times New Roman" w:cs="Times New Roman"/>
          <w:sz w:val="28"/>
          <w:szCs w:val="28"/>
        </w:rPr>
        <w:tab/>
        <w:t>19</w:t>
      </w:r>
      <w:r w:rsidRPr="007959AC">
        <w:rPr>
          <w:rFonts w:ascii="Times New Roman" w:hAnsi="Times New Roman" w:cs="Times New Roman"/>
          <w:sz w:val="28"/>
          <w:szCs w:val="28"/>
        </w:rPr>
        <w:tab/>
        <w:t>-</w:t>
      </w:r>
      <w:r w:rsidRPr="007959AC">
        <w:rPr>
          <w:rFonts w:ascii="Times New Roman" w:hAnsi="Times New Roman" w:cs="Times New Roman"/>
          <w:sz w:val="28"/>
          <w:szCs w:val="28"/>
        </w:rPr>
        <w:tab/>
      </w:r>
      <w:r w:rsidRPr="007959AC">
        <w:rPr>
          <w:rFonts w:ascii="Times New Roman" w:hAnsi="Times New Roman" w:cs="Times New Roman"/>
          <w:sz w:val="28"/>
          <w:szCs w:val="28"/>
        </w:rPr>
        <w:tab/>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кондитерские изделия, т</w:t>
      </w:r>
      <w:r w:rsidRPr="007959AC">
        <w:rPr>
          <w:rFonts w:ascii="Times New Roman" w:hAnsi="Times New Roman" w:cs="Times New Roman"/>
          <w:sz w:val="28"/>
          <w:szCs w:val="28"/>
        </w:rPr>
        <w:tab/>
      </w:r>
      <w:r w:rsidRPr="007959AC">
        <w:rPr>
          <w:rFonts w:ascii="Times New Roman" w:hAnsi="Times New Roman" w:cs="Times New Roman"/>
          <w:sz w:val="28"/>
          <w:szCs w:val="28"/>
        </w:rPr>
        <w:tab/>
      </w:r>
      <w:r w:rsidRPr="007959AC">
        <w:rPr>
          <w:rFonts w:ascii="Times New Roman" w:hAnsi="Times New Roman" w:cs="Times New Roman"/>
          <w:sz w:val="28"/>
          <w:szCs w:val="28"/>
        </w:rPr>
        <w:tab/>
      </w:r>
      <w:r w:rsidRPr="007959AC">
        <w:rPr>
          <w:rFonts w:ascii="Times New Roman" w:hAnsi="Times New Roman" w:cs="Times New Roman"/>
          <w:sz w:val="28"/>
          <w:szCs w:val="28"/>
        </w:rPr>
        <w:tab/>
      </w:r>
      <w:r w:rsidRPr="007959AC">
        <w:rPr>
          <w:rFonts w:ascii="Times New Roman" w:hAnsi="Times New Roman" w:cs="Times New Roman"/>
          <w:sz w:val="28"/>
          <w:szCs w:val="28"/>
        </w:rPr>
        <w:tab/>
      </w:r>
      <w:r w:rsidRPr="007959AC">
        <w:rPr>
          <w:rFonts w:ascii="Times New Roman" w:hAnsi="Times New Roman" w:cs="Times New Roman"/>
          <w:sz w:val="28"/>
          <w:szCs w:val="28"/>
        </w:rPr>
        <w:tab/>
      </w:r>
      <w:r w:rsidRPr="007959AC">
        <w:rPr>
          <w:rFonts w:ascii="Times New Roman" w:hAnsi="Times New Roman" w:cs="Times New Roman"/>
          <w:sz w:val="28"/>
          <w:szCs w:val="28"/>
        </w:rPr>
        <w:tab/>
        <w:t>54</w:t>
      </w:r>
      <w:r w:rsidRPr="007959AC">
        <w:rPr>
          <w:rFonts w:ascii="Times New Roman" w:hAnsi="Times New Roman" w:cs="Times New Roman"/>
          <w:sz w:val="28"/>
          <w:szCs w:val="28"/>
        </w:rPr>
        <w:tab/>
        <w:t>60</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Пространственное развитие промышленности</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настоящее время промышленность в Курском районе развита достаточно слабо, тем не менее, пригородное и выгодное транспортное положение района составляют значительный потенциал для дальнейшего развития промышленности.</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Для района существует три наиболее перспективных направления развития промышленности: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1.</w:t>
      </w:r>
      <w:r w:rsidRPr="007959AC">
        <w:rPr>
          <w:rFonts w:ascii="Times New Roman" w:hAnsi="Times New Roman" w:cs="Times New Roman"/>
          <w:sz w:val="28"/>
          <w:szCs w:val="28"/>
        </w:rPr>
        <w:tab/>
        <w:t>Вывод крупных промышленных предприятий из Курска на территорию района.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2.</w:t>
      </w:r>
      <w:r w:rsidRPr="007959AC">
        <w:rPr>
          <w:rFonts w:ascii="Times New Roman" w:hAnsi="Times New Roman" w:cs="Times New Roman"/>
          <w:sz w:val="28"/>
          <w:szCs w:val="28"/>
        </w:rPr>
        <w:tab/>
        <w:t>Развитие пригородных промышленно-логистических функций на территории района.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3.</w:t>
      </w:r>
      <w:r w:rsidRPr="007959AC">
        <w:rPr>
          <w:rFonts w:ascii="Times New Roman" w:hAnsi="Times New Roman" w:cs="Times New Roman"/>
          <w:sz w:val="28"/>
          <w:szCs w:val="28"/>
        </w:rPr>
        <w:tab/>
        <w:t>Развитие пищевой промышленности на территории района, на основе сельскохозяйственного сырья, производимого в Курской области.</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Реализация данных направлений требует времени и не может быть осуществлена в течение 5 или 10 лет, но может быть востребована через 15 или 20 лет. Поэтому уже на данном этапе в планировании пространственного развития необходимо предусмотреть территориальные возможности для строительства новых промышленных предприятий.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Необходимо выделить значительный массив земель как резерв для строительства новых промышленных предприятий и вывода предприятий из г. Курска.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Наибольшим потенциалом для реализации данной функции обладают территории на юго-востоке района (Лебяженский, Шумаковский, Полевской сельсоветы). В данной зоне сконцентрирована значительная часть населения района и сосредоточены сравнительно свободные земли, пригодные для организации промышленного производства.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 размещению предлагаются наукоёмкие, ресурсосберегающие производства: производство электротехнической и радиоэлектронной аппаратуры, приборостроение, микробиологическая промышленность, индустрия информатики и др. Наукоемкие производства станут в обозримом будущем «мотором» экономики области и района. Именно наукоемкие технологии способствуют и обеспечивают повышение жизненного уровня за счет интенсивных факторов: роста производительности труда, снижения относительного уровня потребления и повышения эффективности использования невосполнимых природных ресурсов.</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то же время строительство предприятий именно на этих территориях повлечет незначительные негативные последствия для экологической ситуации в областном центре в связи с их расположением относительно розы ветров. Соответственно, должны быть предусмотрены меры по охране окружающей среды, соблюдающие три основных экологических принципа Глобального договора ООН: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профилактический подход к решению экологических проблем;</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повышение экологической ответственности;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разработка и распространение экологически безопасных технологий.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Второй резервный массив земель необходимо предусмотреть для строительства логистического комплекса на западе от Курска, в районе пересечения трассы-дублера М2 и трассы Воронеж-Курск-Рыльск. В перспективе данная зона будет обладать лучшим транспортным положением среди всех районов области. В настоящее время вопрос строительства современного логистического комплекса, является для г. Курска актуальным.</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 xml:space="preserve">6.3. Инвестиционный комплекс Курского района.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Перспективы жилищного строительства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Курский район играет незначительную роль в общем объеме инвестиций в основной капитал в области. В 2006 г. на него приходилось 1,2% суммарного объема инвестиций. В отличие от области в целом, в районе на протяжении 2000-2006 гг. наблюдается отрицательная динамика инвестиций. Общий объем инвестиций в основной капитал по средним и крупным организациям в районе в 2006 г. составил 339,3 млн. руб. В жилищное строительство в 2006 г. было вложено 36,8 млн. руб., что составляет 14% всего объема инвестиций в основной капитал.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последние годы развития жилищного строительства в районе не наблюдается. В 2000 и 2001 гг. были введены в строй соответственно 2 и 3 многоквартирных дома. После этого в районе велось только индивидуальное жилищное строительство, при вводе в год 25-35 домов.</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Район обладает значительным потенциалом развития селитебной функции, связанным, с развитием субурбанизационных процессов в Курской агломерации. Рост доходов жителей областного центра будет приводить к трансформации потребительских предпочтений, что вкупе с ростом автомобилизации приведет к повышению интереса к жилью в пригороде.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результате в районе должен сформироваться полноценный рынок жилья, ориентированный на различные по уровню доходов и социальному статусу группы населения.</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Основными сегментами рынка будут: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Элитное жилье со значительной площадью домов и участков, находящееся на сравнительном удалении от областного центра (более 20 минут). Подобный потребитель предъявляет серьезные требования к экологической ситуации в районе проживания, а также эстетической привлекательности ландшафта. Также для данных групп населения важен социальный состав проживающих рядом с ним, поэтому подобные поселки необходимо строить на некотором удалении от другого жилья.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Второй сегмент – среднеценовой, ориентированный, в первую очередь, на формирующийся средний класс. Данное жилье должно располагаться достаточно близко от города, в пределах 15 минутной доступности, но в сравнительно привлекательных с экологической точки зрения районах. Подобные поселки должны быть достаточно компактными, но также несколько отдаленными от близлежащих населенных пунктов.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 xml:space="preserve"> </w:t>
      </w:r>
      <w:r w:rsidRPr="007959AC">
        <w:rPr>
          <w:rFonts w:ascii="Times New Roman" w:hAnsi="Times New Roman" w:cs="Times New Roman"/>
          <w:sz w:val="28"/>
          <w:szCs w:val="28"/>
        </w:rPr>
        <w:tab/>
        <w:t xml:space="preserve">Третий сегмент – социальное или массовое индивидуальное жилье, для населения, не обладающего высоким уровнем доходов. Особых требований к жилью потребители данного сегмента рынка не предъявляют. Рыночная привлекательность данного сегмента не столь высока, но его значимость для формирования нормальной социальной среды на территории района очень высока.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Курский район обладает территориями для развития всех трех типов жилья, и как следствие, для формирования сбалансированного рынка жилья.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Наиболее подходящей территорией для элитного жилищного строительства является северная часть района, экологическая ситуация в которой является наиболее благоприятной в районе. Наиболее привлекательными являются территории в Нижнемедведицком, Ноздрачевском, Пашковском, Камышинском и Верхнекасиновском сельсоветах.</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Строительство коттеджей для среднего класса должно проводиться в пределах 10-15 минутной доступности на автомобиле от городской черты. Наиболее подходящей для этого зоной является территория к западу от областного центра (Моковский, Полянский сельсоветы) и к востоку и северо-востоку от Курска на территории Клюквинского и Ноздрачевского сельсоветов. Развитие селитебных функций в Моковском сельсовете в среднесрочной перспективе будет ограничено строительством трассы-дублера М2. Прокладка трассы приведет к росту выбросов в атмосферу и усилению шумового загрязнения, а как следствие ухудшению экологической ситуации. С другой стороны, строительство логистического комплекса в районе пересечения дублера М2 и трассы Курск-Рыльск также приведет к ухудшению среды проживания населения. Все это в перспективе приведет к падению привлекательности данной зоны для проживания населения со средним и высоким уровнем доходов и соответственно, повысит привлекательность восточного и северо-восточного направлений.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Для массового жилищного строительства (в первую очередь индивидуального жилья, но, возможно, и многоквартирных домов) наиболее перспективными являются территории, вплотную прилегающие к городской черте с юга (Рышковский и Лебяженский сельсоветы) и с севера (Нижнемедведицкий, Щетинский сельсоветы) от областного центра.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Необходимо отметить, что реализация планов по строительству жилья на территории района вопрос не 5 или даже 10, а 20-30 лет. Вследствие чего, территории, выделяемые для жилищного строительства, нельзя изымать из </w:t>
      </w:r>
      <w:r w:rsidRPr="007959AC">
        <w:rPr>
          <w:rFonts w:ascii="Times New Roman" w:hAnsi="Times New Roman" w:cs="Times New Roman"/>
          <w:sz w:val="28"/>
          <w:szCs w:val="28"/>
        </w:rPr>
        <w:lastRenderedPageBreak/>
        <w:t>сельскохозяйственного оборота до момента начала строительства, но необходимо запретить строительство промышленных объектов на них. Использование части земель для промышленных функций одновременно с развитием селитьбы может привести к формированию негативного социального фона в новых жилых районах.</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6.4. Постиндустриальная экономика в Курском районе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Торговля и сфера услуг</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настоящее время уровень развития сферы услуг на территории района находится на уровне ниже среднего. В 2006 г. суммарный оборот розничной торговли по Курскому району составил 311,3 млн. рублей. Жители района реализуют большую часть своих потребностей на территории Курска, с характерным процессом развития торговых и развлекательных функций в центральной части города. В центральном районе было простроено несколько торговых центров, являющихся в настоящее время наиболее современными и востребованными в городе.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Как показывает мировой опыт развития торговли, в среднесрочной перспективе вектор строительства торгово-развлекательных центров будет смещаться на периферийные районы города. В поддержке подобных тенденций и «перехвате» у города данных функций заключается одна из важнейших и наиболее реальных перспектив экономического развития района. Строительство новых торговых центров должно идти вслед за развитием окраинных спальных районов и опережать процесс субурбанизации, поддерживая ее.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Таким образом, стратегия пространственного развития района предусматривает выделение земли под строительство торгово-развлекательных центров типа «молл» в перспективных районах жилищного строительства (в западной части района, в Моковском сельсовете), в северной и восточной частях района (в Клюквинском, Ноздрачевском и Рышковском сельсоветах). В южной части района необходимо выделить землю под строительство центра по торговле товарами производственного и бытового назначения.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Развитие научно-производственных функций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Агроклиматические условия Курского района, близость двух центров подготовки научных кадров в области сельского хозяйства – Курска и Воронежа, наличие свободных, необрабатываемых земель, наличие достаточно развитой инфраструктуры в сумме образуют потенциал развития сельскохозяйственной науки на территории района.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В восточной части района, на территории Клюквинского сельсовета предполагается строительство сельскохозяйственного научного парка, специализирующегося на научных разработках в области культур черноземной зоны (сахарная свекла, пивоваренный ячмень, другие зерновые культуры) и разработок по адаптации рыночных культур к условиям черноземной зоны (например, рапс). Предполагается, что данный научный парк станет одним из основных производителей семенного материала по вышеперечисленным культурам.</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зоне непосредственно прилегающей к научному парку предполагается строительство современного поселка-базы для ученых и сотрудников парка.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Помимо этого необходимо сохранить и развивать научно-ориентированные хозяйства, функционирующие на территории района.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6.5. Развитие рекреационного комплекса в Курском районе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Курский район обладает достаточным потенциалом для развития туристско-рекреационной деятельности. Инфраструктура туризма в районе состоит из следующих основных субъектов: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туристические предприятия, предоставляющие лицензионные услуги;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коллективные средства размещения;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лечебно-оздоровительные учреждения;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туристско-экскурсионные объекты.</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На современном этапе состояние туристско-рекреационной инфраструктуры в районе, является одним из ограничивающих факторов развития туристской отрасли. Такими факторами в частности, являются: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отсутствие региональной законодательной базы в сфере туризма;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недостаточность информации об имеющихся рекреационных ресурсах;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отсутствие механизма, позволяющего осуществлять контроль над деятельностью туристских предприятий;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недостаточная квалификация кадров туристской индустрии.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Территория Курского района относится к Курско-Курчатовской туристско-рекреационной зоне – зоне многопланового рекреационного туризма. На территории этой зоны представлены экскурсионно-познавательный, религиозный (паломнический), деловой (конгрессно-выставочный) и специализированный туризм, санаторно-курортное лечение, отдых выходного дня.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Для Курского района можно предложить развитие следующих видов туризма: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Экологическая сеть. Курский район обладает уникальными природными возможностями территории − отсутствие крупных предприятий-загрязнителей, наличие памятников истории и архитектуры общегосударственного значения. Большинство имеющихся памятников природных и историко-культурных комплексов района сосредоточено вдоль русел рек, что позволяет создать систему охраняемых природных территорий − Экологическую сеть. Экологическая сеть представляет собой сформированную систему территорий, которые физически и функционально связаны и ранжированы по значению для сохранения биологического и ландшафтного разнообразия и поддержания экологического равновесия.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Основой районной экологической сети должна являться сложившаяся совокупность ООПТ Курской области различного ранга.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Религиозный туризм. Степень развития религиозного туризма, на территории района, за исключением «Коренной пустыни», крайне мала. Религиозный туризм, широко распространен в мировой туристской практике и вполне перспективен для Курского района, учитывая большое количество монастырей, действующих храмов, и деятельность Курской епархии по реконструкции церквей, многие из которых являются памятниками истории и архитектуры. Соответственно, и религиозный туризм способствует их возрождению. Развитию религиозного туризма способствует наличие большого количества православных святынь, находящихся на территории соседних областей.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Деловой (конгрессно-выставочный) туризм. Туристская деятельность с целью поездки – деловая, в частности проведение конгрессов, относится к числу наиболее динамично развивающихся и наиболее выгодных видов путешествий.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Конгрессно-выставочный туризм позволяет снимать такую острую проблему, как сезонный фактор в туризме, поскольку пик выставочной и конгрессной активности приходится на зиму и межсезонье, то есть как раз на время "мертвого сезона" в туризме.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Проблема выравнивания сезонности для Курского района наименее актуальна, но именно здесь развитие конгрессно-выставочного туризма наиболее перспективно, этому способствует хорошее транспортное обеспечение, наличие средств размещений необходимого уровня, близость к крупному городу – центру области.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Данный вид туризма рассчитан на бизнесменов и иных специалистов, приезжающих не только в Курск, но и в города, находящиеся рядом, и сочетающих возможности расширения деловых контактов с отдыхом и знакомством с жизнью местного населения.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lastRenderedPageBreak/>
        <w:t>Специализированный туризм. Культурный и народно-этнографический аспект может быть положен в основу развития следующих видов туризма в Курском районе: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 xml:space="preserve">Лицензионный научный туризм – проведение археологических раскопок на территории исторических поселений, исследовательских работ на базе историко-культурных памятников;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r w:rsidRPr="007959AC">
        <w:rPr>
          <w:rFonts w:ascii="Times New Roman" w:hAnsi="Times New Roman" w:cs="Times New Roman"/>
          <w:sz w:val="28"/>
          <w:szCs w:val="28"/>
        </w:rPr>
        <w:tab/>
        <w:t>Научный и учебный туризм, предполагающие обучение русскому языку, реставрации памятников, изучение этнографии, истории, проведение археологических экспедиций, а также другие разновидности специализированного туризма.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Социальный туризм в Курской области представлен детскими загородными, санаторными и лагерями дневного пребывания. Дотации на развитие этого вида туризма выделяются их фонда социального страхования и бюджета Курской области. Дальнейшее расширение сети учреждений лагерного типа не является необходимостью, следующим этапом развития этого вида социального туризма является улучшение качества отдыха, питания, обновление материально-технической базы. Для оздоровительных лагерей, имеющих отопление возможно открытие деятельности по обслуживанию детей в «несезон».</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Курорты и лечебно-оздоровительные местности. Красота Курского края восхищала многих: Екатерина II назвала Курск "Русской Венецией", Ф.И. Тютчев, побывав в Курске, писал, что «это одно из тех мест, которое, не будь оно в России, давно бы служило предметом паломничества для туристов». Целебный микроклимат смешанного леса, степного разнотравья, благодаря насыщенности кислородом и фитонцидами, способствует успешному лечению заболеваний системы кровообращения, органов пищеварения, нервной системы, костно-мышечной системы.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Дачи на территории Курского район. Курский район – основная дачная зона Курской области. На территории района расположено более 36 тыс. дачных участков в 58 дачных поселках. Исходя из этого, население района увеличивается каждый дачный сезон на 100 тыс. человек, как минимум. Помимо этого, многие владельцы дачных участков проживают на них в течение всего года, фактически являясь полноценными жителями района.</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Основная дачная зона района – наиболее благополучная с экологической точки зрения, и расположенная на расстоянии 10-25 км – северная часть района (Пашковский, Нижнемедведицкий, Щетинский и Камышинский и Ноздрачевский сельсоветы). Здесь сосредоточено более 60% всех дачных участков района. Вторая дачная зона – западная часть района (Полянский и Моковский сельсоветы), в которой расположено более 18% дач. Следует </w:t>
      </w:r>
      <w:r w:rsidRPr="007959AC">
        <w:rPr>
          <w:rFonts w:ascii="Times New Roman" w:hAnsi="Times New Roman" w:cs="Times New Roman"/>
          <w:sz w:val="28"/>
          <w:szCs w:val="28"/>
        </w:rPr>
        <w:lastRenderedPageBreak/>
        <w:t xml:space="preserve">отметить, что в 6 сельсоветах дачные поселки отсутствуют. К таковым относятся: Полевской, Муравлевский, Троицкий, Брежневский и Шемякинский сельсоветы, где дачное строительство не развивалось из-за высокого времени проезда до дачи. Нет дач и в Ворошневском сельсовете, который характеризуется неблагоприятной экологической ситуацией. В настоящее время дачное движение в районе находится на спаде, и перспективы для дальнейшего расширения использования территорий под дачное строительство незначительные. Поэтому проектирование значительных новых массивов дачных (садово-огородных) поселков на территории района нецелесообразно. Большая часть потребностей населения в огородах будет обеспечена за счет приобретения домов в сельских населенных пунктах.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случае наличия потребностей со стороны населения, для организации дачных поселков выделяется небольшая территория на северо-востоке района (Бесединский сельсовет).</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 </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7.  ПРОСТРАНСТВЕННАЯ  ОРГАНИЗАЦИЯ  СОЦИАЛЬНОЙ  СФЕРЫ</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7.1. Развитие здравоохранения</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Курском районе как пригородном, окружающем областной центр, наблюдается концентрация медицинских учреждений и районного, и областного значения. Районная система учреждений здравоохранения представлена: Центральной районной больницей, расположенной в с. Беседино, ее 4 структурными подразделениями (3 поликлиниками и стационаром), 4 сельскими амбулаториями, врачебным пунктом и 32 ФАП. Большой вклад в систему здравоохранения района вносят учреждения, расположенные в границах областного центра, которыми жителям района воспользоваться проще, нежели жителям других районов области. В последние годы на территории района успешно внедряется система врачей общей практики. Машины скорой помощи, обслуживающие район, располагаются при ЦРБ и поликлиниках.</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Благодаря областным учреждениям повышаются показатели уровня развития здравоохранения на территории района. Курский район – лидер по показателю обеспеченности койко-местами и средним медицинским персоналом среди всех районов области, по количеству врачей на душу населения район занимает второе место. Динамика развития системы здравоохранения в районе положительная по всем трем основным </w:t>
      </w:r>
      <w:r w:rsidRPr="007959AC">
        <w:rPr>
          <w:rFonts w:ascii="Times New Roman" w:hAnsi="Times New Roman" w:cs="Times New Roman"/>
          <w:sz w:val="28"/>
          <w:szCs w:val="28"/>
        </w:rPr>
        <w:lastRenderedPageBreak/>
        <w:t xml:space="preserve">параметрам. Уровень развития системы здравоохранения на территории района можно признать достаточно высоким.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Основным отрицательным моментом является достаточно низкий уровень транспортной доступности между населенными пунктами в западной части района и ЦРБ, расположенной в восточной части.</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Территориальная организация здравоохранения</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Сложившуюся на территории района сеть медицинских учреждений можно считать оптимальной. Основным принципом территориальной организации здравоохранения на период до 2020 г. является принцип повышения обеспеченности населения базовыми услугами здравоохранения, и в первую очередь, диагностическими услугами. Близость района к областному центру и хорошая транспортная доступность большинства территорий дает населению возможность использовать не только районные учреждения здравоохранения, но и учреждения, расположенные в областном центре.</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Таким образом, центром предоставления отдельных видов специальных услуг остается Курск. На базе отделения ЦРБ в Курске формируется центр врачей общей практики (10 врачей). За каждым из врачей закрепляется собственная зона обслуживания. Врачи общей практики должны будут не только осуществлять первичную диагностику и производить лечение на дому, но и обеспечивать население в небольших удаленных населенных пунктах лекарственными препаратами. На период с 2015 по 2020 г. необходимо заложить строительство здания для переноса центральной районной больницы на территорию г. Курска.</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7.2. Развитие системы образования</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Система образования Курского района представлена 6 дошкольными образовательными учреждениями, 46 учреждениями школьного образования, и 3 учреждениями дополнительного образования. Дошкольные учреждения района посещает более 270 детей, в школах учится более 3,7 тыс. детей.</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Дошкольное образование</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Численность учащихся детских садов в Курском районе росла, начиная с середины 90-х гг. вплоть до 2001 г. В 2001 г. был открыт девятый детский сад. Начиная с 2002 г. численность учащихся постоянно сокращалась, одновременно сокращалось и количество детских садов: в 2004 г. был закрыт 1, в 2005 г. их было уже 5, в 2006 1 детский сад возобновил работу. В настоящее время 6 детских садов района посещают 270 детей, при том, что в </w:t>
      </w:r>
      <w:r w:rsidRPr="007959AC">
        <w:rPr>
          <w:rFonts w:ascii="Times New Roman" w:hAnsi="Times New Roman" w:cs="Times New Roman"/>
          <w:sz w:val="28"/>
          <w:szCs w:val="28"/>
        </w:rPr>
        <w:lastRenderedPageBreak/>
        <w:t xml:space="preserve">сумме все учреждения способны принять до 415 детей. Одновременно в районе на очень низком уровне остается охват детей учреждениями дошкольного образования (в 2006 г. – 10,8%).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Развитие дошкольного образования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В настоящее время в районе отмечается рост рождаемости, однако демографический прогноз не подтверждает данную тенденцию. Таким образом, расширение сети дошкольных учреждений не целесообразно на средне и долгосрочную перспективу. При развитии дошкольного образования необходимо более глубоко использовать существующую сеть, повышать наполняемость учреждений. С другой стороны, система расселения района требует приближения услуги дошкольного образования к потребителю – населению. Наиболее действенным механизмом реализации этого направления является развитие сети учреждений типа «детский сад-школа» – использования части помещений недозаполненных сельских школ под организацию дошкольных групп. Используя и развивая подобную модель организации дошкольного образования, можно минимизировать издержки, связанные с демографическими тенденциями (демографических волн): в определенные периоды можно использовать помещения под детский сад, затем, одновременно с переходом детей в школьный возраст и некоторым снижением рождаемости можно использовать помещения для школьных классов.</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Школьное образование</w:t>
      </w:r>
    </w:p>
    <w:p w:rsidR="007959AC" w:rsidRPr="007959AC" w:rsidRDefault="007959AC" w:rsidP="007959AC">
      <w:pPr>
        <w:spacing w:after="0"/>
        <w:rPr>
          <w:rFonts w:ascii="Times New Roman" w:hAnsi="Times New Roman" w:cs="Times New Roman"/>
          <w:sz w:val="28"/>
          <w:szCs w:val="28"/>
        </w:rPr>
      </w:pP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 46 учреждениях среднего образования на территории Курского района в конце 2008 г. обучалось 3,7 тыс. чел. За последние 9 лет, с 1999 г. по 2008 учебный год количество учеников сократилось практически в 2 раза (с 6,2 в 1999 г. до 3,7 тыс. чел. в 2008 г.). В среднесрочной перспективе, до 2015 г. ожидается стабилизация и некоторый рост численности учащихся, но этот рост не превысит свободные мощности в школах.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Из 46 школ района 19 школ являются средними, 14 – основными, 11 – начальными, 1 – школа интернат и 1 детский дом. В начальных школах учатся около 140 человек, в ООШ – 450 человек, в СОШ – 2,9 тыс. учеников. Школы распределены по территории района равномерно, в среднем размер школ соответствует людности населенных пунктов, в которых они расположены.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Развитие школьного образования.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Основным принципом территориальной организации образовательного процесса в районе является принцип доступности качественных базовых </w:t>
      </w:r>
      <w:r w:rsidRPr="007959AC">
        <w:rPr>
          <w:rFonts w:ascii="Times New Roman" w:hAnsi="Times New Roman" w:cs="Times New Roman"/>
          <w:sz w:val="28"/>
          <w:szCs w:val="28"/>
        </w:rPr>
        <w:lastRenderedPageBreak/>
        <w:t>образовательных услуг. Данное условие должно быть обеспечено через повышение мобильности системы образования. Признавая сеть учреждений в целом избыточной, необходимо постепенно трансформировать систему пространственной организации школьного образования.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Основным принципом станет ступенчатая организация образовательного процесса. В большинстве случаев достаточно крупные школы, имея лучшее материально техническое оснащение, обладают большим потенциалом повышения качества образования. Таким образом, предполагается формирование 10 зон, в каждой из которых:</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Сохраняются основные школы с численностью учащихся более 30 чел., максимально приближенные к местам проживания населения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Выделяются базовые школы, обладающие лучшей материально-технической базой, преподавательским составом, возможностями организации более качественного учебного процесса, нежели прочие СОШ. Эти школы становятся центром приема детей из удаленных сельских территорий. Перед началом реорганизации базовым школам передается необходимый для организации учебного процесса (доставки учеников) автотранспорт (не менее 1 автобуса и 1 газели на 1 базовую школу), а также осуществляется их модернизация.</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w:t>
      </w:r>
      <w:r w:rsidRPr="007959AC">
        <w:rPr>
          <w:rFonts w:ascii="Times New Roman" w:hAnsi="Times New Roman" w:cs="Times New Roman"/>
          <w:sz w:val="28"/>
          <w:szCs w:val="28"/>
        </w:rPr>
        <w:tab/>
        <w:t>Постепенно (вплоть до 2020 г.) проводится закрытие малокомплектных школ (менее 30 учеников), в том числе всех начальных школ.</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Все образованные зоны можно разделить на 2 типа по принадлежность к агломерации.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 xml:space="preserve">Для зон первого типа (№3, 6, 10), включенных в Курскую агломерацию, характерна высокая плотность населения и достаточно большая людность населенных пунктов. Сеть учреждений в данных зонах сравнительно оптимальна и их ждут незначительные изменения. </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Для зон второго типа, характерна низкая плотность населения, небольшая средняя людность населенных пунктов, будут характерны значительные изменения сети учреждений. В этих зонах произойдет серьезное сокращение малокомплектных школ. Поэтому необходимо изменения проводить постепенно, на протяжении всего периода реализации схемы.</w:t>
      </w:r>
    </w:p>
    <w:p w:rsidR="007959AC" w:rsidRPr="007959AC" w:rsidRDefault="007959AC" w:rsidP="007959AC">
      <w:pPr>
        <w:spacing w:after="0"/>
        <w:rPr>
          <w:rFonts w:ascii="Times New Roman" w:hAnsi="Times New Roman" w:cs="Times New Roman"/>
          <w:sz w:val="28"/>
          <w:szCs w:val="28"/>
        </w:rPr>
      </w:pPr>
      <w:r w:rsidRPr="007959AC">
        <w:rPr>
          <w:rFonts w:ascii="Times New Roman" w:hAnsi="Times New Roman" w:cs="Times New Roman"/>
          <w:sz w:val="28"/>
          <w:szCs w:val="28"/>
        </w:rPr>
        <w:t>Также необходимо открытие новой школы в Ворошневском сельсовете. В настоящее время в данной густонаселенной зоне школы отсутствуют.</w:t>
      </w:r>
    </w:p>
    <w:p w:rsidR="00D2611F" w:rsidRDefault="00D2611F"/>
    <w:sectPr w:rsidR="00D2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D"/>
    <w:rsid w:val="005C786D"/>
    <w:rsid w:val="007959AC"/>
    <w:rsid w:val="00D2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5160</Words>
  <Characters>29418</Characters>
  <Application>Microsoft Office Word</Application>
  <DocSecurity>0</DocSecurity>
  <Lines>245</Lines>
  <Paragraphs>69</Paragraphs>
  <ScaleCrop>false</ScaleCrop>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RUS</cp:lastModifiedBy>
  <cp:revision>2</cp:revision>
  <dcterms:created xsi:type="dcterms:W3CDTF">2010-12-16T13:15:00Z</dcterms:created>
  <dcterms:modified xsi:type="dcterms:W3CDTF">2010-12-16T13:15:00Z</dcterms:modified>
</cp:coreProperties>
</file>