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10.  МЕРОПРИЯТИЯ  ПО  РАЗВИТИЮ 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ТРАНСПОРТНО-ЛОГИСТИЧЕСКОГО  КОМПЛЕКСА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Транспортная сеть района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Транспортная сеть представляет собой взаимосвязанный комплекс автомобильных и железных дорог, которые в совокупности обеспечивают внутрирайонные и внешние связи района. Протяженность автомобильных дорог общего пользования с твердым покрытием составляет 312 км. Автодорог первой и второй категории на территории района нет, большая часть автодорог с твердым покрытием имеет 4 категорию. Автодороги 3 категории приходятся на направления 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Курск-Поныри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и Курск-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(трасса А-144).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Плотность автодорог общего пользования в районе в целом немного выше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среднеобластной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и составляет 236,9 км/1000 км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(в целом по области – 207,6). Морфологически сеть автомобильных дорог района представляет собой ярко выраженную радиальную структуру с центром в городе Курск. Исключением является участок трассы федерального значения М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, проходящий к западу от города и пересекающий район с севера на юг (трасса проходит через следующие населенные пункты: 2я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Ниж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>едведица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Косиновский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Гремячка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- 1-я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Моква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Духовец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Селиховы Дворы).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Также по территории района проходят, выходя из областного центра, ещё 7 автомобильных дорог разного качества покрытия: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две в северном направлении;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три – в 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западном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и юго-западном, включая трассу регионального значения А-144 (Курск-Долгое-1-е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Красниково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-Беседино-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Букеевские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Выселки-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Дубовец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);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по одной в южном и восточном направлениях.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По территории района также проходят три железные дороги: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электрифицированная магистральная железная дорога идет с севера на юго-восток (Москва-Курск далее на Воронеж, Саратов),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две другие имеют местное значение – одна идет из Курска на восток (через Щигры,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на Воронеж), вторая – на запад (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Курчатов в Льгов).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Все железные дороги, проходящие по территории района, входят в состав Орловско - Курского отделения Московской железной дороги – филиал ОАО "Российские железные дороги" (Курский регион). На территории района расположено несколько железнодорожных станций. Основные: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станции на дороге Москва-Курск-Воронеж – ст.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Букреевка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, ст. Клюква, ст.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Конорево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, ост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Заплава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, ст. Полевая, ост. п.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Гуторово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станции на дороге Курск-Щигры-Воронеж – ст.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Ноздрачево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, ст.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Отрешково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станции на дороге Курск-Льгов – ост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. 470 км, ост. п. 465 км, ост. п. 457 км.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24C4">
        <w:rPr>
          <w:rFonts w:ascii="Times New Roman" w:hAnsi="Times New Roman" w:cs="Times New Roman"/>
          <w:sz w:val="28"/>
          <w:szCs w:val="28"/>
        </w:rPr>
        <w:t>Автомобильный транспорт, в основном способствует осуществлению внутренних связей в районе, а железнодорожный  – внешних.</w:t>
      </w:r>
      <w:proofErr w:type="gramEnd"/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Грузоперевозки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На протяжении последних нескольких лет для Курской области характерен невысокий по темпам, но постоянный рост количества перевезенных грузов и грузооборота автомобильного и железнодорожного транспорта. В то же время в Курском районе с 2002 г. имеет место обратная тенденция – нерегулярное сокращение грузоперевозок. Вместе с уменьшением количества перевезенных грузов с 2004 г. снижается и значение грузооборота.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Транзитные грузовые перевозки (как железнодорожные, так и автомобильные) играют главную роль в грузоперевозках Курского района.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Пассажирские перевозки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Пассажирские перевозки на территории района осуществляются как железнодорожным, так и автомобильным транспортом. Начиная с 2002 г. наблюдается рост количества пассажиров, перевезенных автобусами. Основные внутрирайонные маршруты следуют из Северной автостанции и автовокзала «Курск» областного центра. Удобная конфигурация сети и относительно крупные населенные пункты позволяют за счет небольшого количества маршрутов охватить все важные пункты территории.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Пассажирское железнодорожное сообщение на территории района осуществляется пригородными электропоездами, следующими по ряду маршрутов. В связи с наличием на территории района областного центра интенсивность следования электропоездов высока практически по всем направлениям. Максимальное количество поездов следует по направлениям на Орел, Белгород  и Льгов. Через Курск также проходит ряд поездов дальнего следования. Остановок на территории района они не имеют.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Мероприятия по развитию транспортного комплекса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Общие предложения по совершенствованию транспортной инфраструктуры включают в себя предложения, внесенные Управлением внутренних дел по Курской области, а именно: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Развитие улично-дорожной сети Курского района с учетом перспективного уровня автомобилизации региона;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Планирование новых направлений строительства автодорог, в том числе эксплуатируемых на платной основе;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Строительство участков автомобильных дорог в обход Курска и крупных населенных пунктов района;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 участков автомобильных дорог, геометрические параметры которых не отвечают существующей и перспективной интенсивности движения транспорта по ним;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Устройство недостающих мостовых переходов, транспортных развязок в разных уровнях, в том числе в местах пересечения автомобильных и железных дорог.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Мероприятия по развитию транспортного комплекса района включают в себя две основные составляющие: улучшение качества дорог и строительство новых дорог.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Для Курского района первая составляющая особенно важна ввиду транзитного значения транспортной сети. Поэтому ряд проектов по улучшению дорог района входит в список приоритетных инвестиционных проектов, предлагаемых к реализации в рамках Стратегии социально-экономического развития Курской области на период до 2020 года.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Приоритетные инвестиционные проекты в области транспорта на период до 2020 года (на территории Курского района)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Суть проекта</w:t>
      </w:r>
      <w:r w:rsidRPr="004724C4">
        <w:rPr>
          <w:rFonts w:ascii="Times New Roman" w:hAnsi="Times New Roman" w:cs="Times New Roman"/>
          <w:sz w:val="28"/>
          <w:szCs w:val="28"/>
        </w:rPr>
        <w:tab/>
        <w:t>Сроки реализации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Реконструкция автомобильной дороги Курск - Льгов - Рыльск до границы с Украиной в Курской области 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53 - км 152</w:t>
      </w:r>
      <w:r w:rsidRPr="004724C4">
        <w:rPr>
          <w:rFonts w:ascii="Times New Roman" w:hAnsi="Times New Roman" w:cs="Times New Roman"/>
          <w:sz w:val="28"/>
          <w:szCs w:val="28"/>
        </w:rPr>
        <w:tab/>
        <w:t>2007-2015 гг.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Строительство автомагистрали М-2 «Крым» от Москвы через Тулу, Орёл, Курск, Белгород до границы с Украиной на участке Юго-Восточного обхода г. Курска (30,1 км по территории Курского района)</w:t>
      </w:r>
      <w:r w:rsidRPr="004724C4">
        <w:rPr>
          <w:rFonts w:ascii="Times New Roman" w:hAnsi="Times New Roman" w:cs="Times New Roman"/>
          <w:sz w:val="28"/>
          <w:szCs w:val="28"/>
        </w:rPr>
        <w:tab/>
        <w:t>2010-2012 гг.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Реконструкция автомобильной дороги Курск - Поныри</w:t>
      </w:r>
      <w:r w:rsidRPr="004724C4">
        <w:rPr>
          <w:rFonts w:ascii="Times New Roman" w:hAnsi="Times New Roman" w:cs="Times New Roman"/>
          <w:sz w:val="28"/>
          <w:szCs w:val="28"/>
        </w:rPr>
        <w:tab/>
        <w:t>2007-2008 гг.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Реконструкция авто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ороги Курск - Щигры -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ab/>
        <w:t>до 2020 г.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24C4">
        <w:rPr>
          <w:rFonts w:ascii="Times New Roman" w:hAnsi="Times New Roman" w:cs="Times New Roman"/>
          <w:sz w:val="28"/>
          <w:szCs w:val="28"/>
        </w:rPr>
        <w:t>Строительство автомагистрали федерального значения (класс» Е») Киев, Ровно, Варшава – Курск, Воронеж, Саратов, Оренбург, Омск, Новосибирск (59,1 км по территории Курского района)</w:t>
      </w:r>
      <w:r w:rsidRPr="004724C4">
        <w:rPr>
          <w:rFonts w:ascii="Times New Roman" w:hAnsi="Times New Roman" w:cs="Times New Roman"/>
          <w:sz w:val="28"/>
          <w:szCs w:val="28"/>
        </w:rPr>
        <w:tab/>
        <w:t>Расчетный срок</w:t>
      </w:r>
      <w:proofErr w:type="gramEnd"/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Помимо мероприятий регионального уровня на территории Курского района осуществляется проект федерального значения – строительство дублера </w:t>
      </w:r>
      <w:r w:rsidRPr="004724C4">
        <w:rPr>
          <w:rFonts w:ascii="Times New Roman" w:hAnsi="Times New Roman" w:cs="Times New Roman"/>
          <w:sz w:val="28"/>
          <w:szCs w:val="28"/>
        </w:rPr>
        <w:lastRenderedPageBreak/>
        <w:t>автотрассы «Крым». Новая автомобильная дорога будет расположена параллельно существующей трассе, также пересекая район с севера на юг к западу от Курска. Вместе с улучшением транзитного положения района строительство данной трассы увеличит количество рабочих мест, связанных с обслуживанием автотранспортного комплекса.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Также, Схемой территориального планирования Курского района предлагается ряд мероприятий по реконструкции существующей районной дорожной сети: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Развитие межмуниципальных и местных дорог Курского района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Наименование дороги</w:t>
      </w:r>
      <w:r w:rsidRPr="004724C4">
        <w:rPr>
          <w:rFonts w:ascii="Times New Roman" w:hAnsi="Times New Roman" w:cs="Times New Roman"/>
          <w:sz w:val="28"/>
          <w:szCs w:val="28"/>
        </w:rPr>
        <w:tab/>
        <w:t>Протяженность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24C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ab/>
        <w:t>Современное состояние</w:t>
      </w:r>
      <w:r w:rsidRPr="004724C4">
        <w:rPr>
          <w:rFonts w:ascii="Times New Roman" w:hAnsi="Times New Roman" w:cs="Times New Roman"/>
          <w:sz w:val="28"/>
          <w:szCs w:val="28"/>
        </w:rPr>
        <w:tab/>
        <w:t>Мероприятия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Межмуниципальные: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Курск – Беседино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Дубовец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26,4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ab/>
        <w:t>а/б покрытие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Москва – Крым (на территории Курского района)</w:t>
      </w:r>
      <w:r w:rsidRPr="004724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44,1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ab/>
        <w:t>а/б покрытие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Курск – Щигры</w:t>
      </w:r>
      <w:r w:rsidRPr="004724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26,5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ab/>
        <w:t>а/б покрытие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Местные: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Роговка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ст. Полевая</w:t>
      </w:r>
      <w:r w:rsidRPr="004724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17,1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ab/>
        <w:t>а/б покрытие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Долгое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Ноздрачево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ab/>
        <w:t>11,6</w:t>
      </w:r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Березка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Петринка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ab/>
        <w:t>7,0</w:t>
      </w:r>
      <w:r w:rsidRPr="004724C4">
        <w:rPr>
          <w:rFonts w:ascii="Times New Roman" w:hAnsi="Times New Roman" w:cs="Times New Roman"/>
          <w:sz w:val="28"/>
          <w:szCs w:val="28"/>
        </w:rPr>
        <w:tab/>
        <w:t>грунт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>окрытие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Конорево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Чуйково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ab/>
        <w:t>5,6</w:t>
      </w:r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Дроняево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Теплый</w:t>
      </w:r>
      <w:r w:rsidRPr="004724C4">
        <w:rPr>
          <w:rFonts w:ascii="Times New Roman" w:hAnsi="Times New Roman" w:cs="Times New Roman"/>
          <w:sz w:val="28"/>
          <w:szCs w:val="28"/>
        </w:rPr>
        <w:tab/>
        <w:t>9,9</w:t>
      </w:r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Разиньково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Дроняево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ab/>
        <w:t>5,3</w:t>
      </w:r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1-е 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Шемякино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– Ивановка</w:t>
      </w:r>
      <w:r w:rsidRPr="004724C4">
        <w:rPr>
          <w:rFonts w:ascii="Times New Roman" w:hAnsi="Times New Roman" w:cs="Times New Roman"/>
          <w:sz w:val="28"/>
          <w:szCs w:val="28"/>
        </w:rPr>
        <w:tab/>
        <w:t>3,8</w:t>
      </w:r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Денисово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Сотниково</w:t>
      </w:r>
      <w:r w:rsidRPr="004724C4">
        <w:rPr>
          <w:rFonts w:ascii="Times New Roman" w:hAnsi="Times New Roman" w:cs="Times New Roman"/>
          <w:sz w:val="28"/>
          <w:szCs w:val="28"/>
        </w:rPr>
        <w:tab/>
        <w:t>2,8</w:t>
      </w:r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Веревино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вдоль западной границы района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724C4">
        <w:rPr>
          <w:rFonts w:ascii="Times New Roman" w:hAnsi="Times New Roman" w:cs="Times New Roman"/>
          <w:sz w:val="28"/>
          <w:szCs w:val="28"/>
        </w:rPr>
        <w:tab/>
        <w:t>9,8</w:t>
      </w:r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Первоочередные меры по совершенствованию транспортной инфраструктуры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В число первоочередных мер, направленных на совершенствование транспортной инфраструктуры района следует включить: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приведение технических параметров магистралей и дорог заявленного класса в соответствие с принятыми  государственными стандартами; 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вынос транзитных по отношению к населённому пункту магистралей и узлов их пересечения за пределы населённого пункта на установленное нормами расстояние;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устройство дублёров для магистралей класса «А», обеспечивающих примыкание дороги более низкого класса к дороге более высокого класса;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повышение «связности» дорожной сети путём ликвидации разрывов и незавершённых участков магистрали и – повышение плотности дорожной сети.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Развитие транспортной инфраструктуры Курской области в период «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-прорывного» периода (автомобильные магистрали федерального и регионального значения, проходящие через Курский район)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Завершение строительства магистрали «Е105»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С.Петрербург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-Москва-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Семфирополь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Строительство сети региональных дорог класса «А» на основе сети опорных дорог области разного класса, в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. новые широтные: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Новоямское – Железногорск – Поныри, и далее на Ливны, Елец, Липецк; 120 км по территории области;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Новые меридиональные автомобильные дороги, проходящие по территории Курского района: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724C4">
        <w:rPr>
          <w:rFonts w:ascii="Times New Roman" w:hAnsi="Times New Roman" w:cs="Times New Roman"/>
          <w:sz w:val="28"/>
          <w:szCs w:val="28"/>
        </w:rPr>
        <w:t>Свапские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Дворы – Фатеж – Курск – Прямицыно – Медвенка – Трубеж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Обоянь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: реконструкция 155 км прежней «Е105», в связи с изменением её статуса на класс «А» – дублёра новой магистрали «Е105»;</w:t>
      </w:r>
      <w:proofErr w:type="gramEnd"/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Бузулук – Поныри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Золотухино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Ку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рск/Вв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>еденское – Кленовое – Кировский – Пристень; 160 км по территории области, в том числе 18 км реконструкции существующего участка дороги;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Редькино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Льва Толстого/Щигры – Солнцево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Пристенное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, 124 км, в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. 14 – реконструкция существующего участка дороги, включенного в новую магистраль;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Диагональная связка («перепуск») между двумя параллельными магистралями «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Редькино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Пристенное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» и «Ивановка – Гущино», – 32 км, из них 12 км реконструкции;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Предлагаемые проектом автодороги муниципального значения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Наименование дороги</w:t>
      </w:r>
      <w:r w:rsidRPr="004724C4">
        <w:rPr>
          <w:rFonts w:ascii="Times New Roman" w:hAnsi="Times New Roman" w:cs="Times New Roman"/>
          <w:sz w:val="28"/>
          <w:szCs w:val="28"/>
        </w:rPr>
        <w:tab/>
        <w:t>Единицы измерения</w:t>
      </w:r>
      <w:r w:rsidRPr="004724C4">
        <w:rPr>
          <w:rFonts w:ascii="Times New Roman" w:hAnsi="Times New Roman" w:cs="Times New Roman"/>
          <w:sz w:val="28"/>
          <w:szCs w:val="28"/>
        </w:rPr>
        <w:tab/>
        <w:t>1-я очередь</w:t>
      </w:r>
      <w:r w:rsidRPr="004724C4">
        <w:rPr>
          <w:rFonts w:ascii="Times New Roman" w:hAnsi="Times New Roman" w:cs="Times New Roman"/>
          <w:sz w:val="28"/>
          <w:szCs w:val="28"/>
        </w:rPr>
        <w:tab/>
        <w:t>Расчетный срок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lastRenderedPageBreak/>
        <w:t xml:space="preserve">Дорога категории «А» 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Духовец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Ниж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Касиново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Журавлино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Реутов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Киреевка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Волобуево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Малахово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(объездная дорога вокруг Курска по северо-западной стороне)</w:t>
      </w:r>
      <w:r w:rsidRPr="004724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ab/>
        <w:t xml:space="preserve">39,5 </w:t>
      </w:r>
      <w:r w:rsidRPr="004724C4">
        <w:rPr>
          <w:rFonts w:ascii="Times New Roman" w:hAnsi="Times New Roman" w:cs="Times New Roman"/>
          <w:sz w:val="28"/>
          <w:szCs w:val="28"/>
        </w:rPr>
        <w:tab/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Дорога категории «А»  Степной – Бол.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Шумаковка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Шагарово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Малахово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(объездная дорога вокруг Курска по восточной стороне)</w:t>
      </w:r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  <w:r w:rsidRPr="004724C4">
        <w:rPr>
          <w:rFonts w:ascii="Times New Roman" w:hAnsi="Times New Roman" w:cs="Times New Roman"/>
          <w:sz w:val="28"/>
          <w:szCs w:val="28"/>
        </w:rPr>
        <w:tab/>
        <w:t>28,2</w:t>
      </w:r>
      <w:r w:rsidRPr="004724C4">
        <w:rPr>
          <w:rFonts w:ascii="Times New Roman" w:hAnsi="Times New Roman" w:cs="Times New Roman"/>
          <w:sz w:val="28"/>
          <w:szCs w:val="28"/>
        </w:rPr>
        <w:tab/>
        <w:t>10,2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Дорога категории «В» 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Кислино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Роговка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  <w:r w:rsidRPr="004724C4">
        <w:rPr>
          <w:rFonts w:ascii="Times New Roman" w:hAnsi="Times New Roman" w:cs="Times New Roman"/>
          <w:sz w:val="28"/>
          <w:szCs w:val="28"/>
        </w:rPr>
        <w:tab/>
        <w:t>8,3</w:t>
      </w:r>
      <w:r w:rsidRPr="004724C4">
        <w:rPr>
          <w:rFonts w:ascii="Times New Roman" w:hAnsi="Times New Roman" w:cs="Times New Roman"/>
          <w:sz w:val="28"/>
          <w:szCs w:val="28"/>
        </w:rPr>
        <w:tab/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Дорога категории «III»  Лебяжье – 2-е-Безлесное</w:t>
      </w:r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  <w:r w:rsidRPr="004724C4">
        <w:rPr>
          <w:rFonts w:ascii="Times New Roman" w:hAnsi="Times New Roman" w:cs="Times New Roman"/>
          <w:sz w:val="28"/>
          <w:szCs w:val="28"/>
        </w:rPr>
        <w:tab/>
        <w:t>7,2</w:t>
      </w:r>
      <w:r w:rsidRPr="004724C4">
        <w:rPr>
          <w:rFonts w:ascii="Times New Roman" w:hAnsi="Times New Roman" w:cs="Times New Roman"/>
          <w:sz w:val="28"/>
          <w:szCs w:val="28"/>
        </w:rPr>
        <w:tab/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Дорога категории «III» 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Каменево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Шагарово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  <w:r w:rsidRPr="004724C4">
        <w:rPr>
          <w:rFonts w:ascii="Times New Roman" w:hAnsi="Times New Roman" w:cs="Times New Roman"/>
          <w:sz w:val="28"/>
          <w:szCs w:val="28"/>
        </w:rPr>
        <w:tab/>
      </w:r>
      <w:r w:rsidRPr="004724C4">
        <w:rPr>
          <w:rFonts w:ascii="Times New Roman" w:hAnsi="Times New Roman" w:cs="Times New Roman"/>
          <w:sz w:val="28"/>
          <w:szCs w:val="28"/>
        </w:rPr>
        <w:tab/>
        <w:t>8,4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Дорога категории «III»  Ушаково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Ноздрачево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  <w:r w:rsidRPr="004724C4">
        <w:rPr>
          <w:rFonts w:ascii="Times New Roman" w:hAnsi="Times New Roman" w:cs="Times New Roman"/>
          <w:sz w:val="28"/>
          <w:szCs w:val="28"/>
        </w:rPr>
        <w:tab/>
        <w:t>6,8</w:t>
      </w:r>
      <w:r w:rsidRPr="004724C4">
        <w:rPr>
          <w:rFonts w:ascii="Times New Roman" w:hAnsi="Times New Roman" w:cs="Times New Roman"/>
          <w:sz w:val="28"/>
          <w:szCs w:val="28"/>
        </w:rPr>
        <w:tab/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Дорога категории «III» 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Якунино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1-е-Красниково</w:t>
      </w:r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  <w:r w:rsidRPr="004724C4">
        <w:rPr>
          <w:rFonts w:ascii="Times New Roman" w:hAnsi="Times New Roman" w:cs="Times New Roman"/>
          <w:sz w:val="28"/>
          <w:szCs w:val="28"/>
        </w:rPr>
        <w:tab/>
      </w:r>
      <w:r w:rsidRPr="004724C4">
        <w:rPr>
          <w:rFonts w:ascii="Times New Roman" w:hAnsi="Times New Roman" w:cs="Times New Roman"/>
          <w:sz w:val="28"/>
          <w:szCs w:val="28"/>
        </w:rPr>
        <w:tab/>
        <w:t>4,2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Дорога  категории «III» 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Халино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пересечение с дорогой Степной – Бол.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Шумаковка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Шагарово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Малахово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  <w:r w:rsidRPr="004724C4">
        <w:rPr>
          <w:rFonts w:ascii="Times New Roman" w:hAnsi="Times New Roman" w:cs="Times New Roman"/>
          <w:sz w:val="28"/>
          <w:szCs w:val="28"/>
        </w:rPr>
        <w:tab/>
      </w:r>
      <w:r w:rsidRPr="004724C4">
        <w:rPr>
          <w:rFonts w:ascii="Times New Roman" w:hAnsi="Times New Roman" w:cs="Times New Roman"/>
          <w:sz w:val="28"/>
          <w:szCs w:val="28"/>
        </w:rPr>
        <w:tab/>
        <w:t>3,7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Дорога категории «IV» 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Денисово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Малахово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  <w:r w:rsidRPr="004724C4">
        <w:rPr>
          <w:rFonts w:ascii="Times New Roman" w:hAnsi="Times New Roman" w:cs="Times New Roman"/>
          <w:sz w:val="28"/>
          <w:szCs w:val="28"/>
        </w:rPr>
        <w:tab/>
      </w:r>
      <w:r w:rsidRPr="004724C4">
        <w:rPr>
          <w:rFonts w:ascii="Times New Roman" w:hAnsi="Times New Roman" w:cs="Times New Roman"/>
          <w:sz w:val="28"/>
          <w:szCs w:val="28"/>
        </w:rPr>
        <w:tab/>
        <w:t>12,4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Дорога категории «IV»  Верх.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Бартенево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Разиньково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ab/>
        <w:t>-«-</w:t>
      </w:r>
      <w:r w:rsidRPr="004724C4">
        <w:rPr>
          <w:rFonts w:ascii="Times New Roman" w:hAnsi="Times New Roman" w:cs="Times New Roman"/>
          <w:sz w:val="28"/>
          <w:szCs w:val="28"/>
        </w:rPr>
        <w:tab/>
      </w:r>
      <w:r w:rsidRPr="004724C4">
        <w:rPr>
          <w:rFonts w:ascii="Times New Roman" w:hAnsi="Times New Roman" w:cs="Times New Roman"/>
          <w:sz w:val="28"/>
          <w:szCs w:val="28"/>
        </w:rPr>
        <w:tab/>
        <w:t>7,0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12.  МЕРОПРИЯТИЯ  ПО  РАЗВИТИЮ  ИНЖЕНЕРНОЙ  ИНФРАСТРУКТУРЫ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Водоснабжение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Существующее положение.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Источниками водоснабжения населения района служат, в основном, подземные воды  Извлечение подземных вод из недр осуществляется одиночными скважинами, шахтными колодцами. В целом по району преобладают децентрализованные водозаборы, состоящие из одной или нескольких скважин.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Наблюдается существенный рост загрязнения воды в колодцах и родниках на территории района. Ухудшаются показатели качества воды из источников нецентрализованного водоснабжения (колодцы и каптажи родников).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Используются также и поверхностные воды. Питание рек происходит за счет поверхностных и грунтовых вод.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Число водопроводов по району – 85 единиц.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Протяженность уличных водопроводных сетей составляет 250 км.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Подано воды в сеть 1995 тыс. м3/год (данные 2006г) ~ 5,47 тыс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>3/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Отпущено воды всем потребителям  5,4 тыс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>3/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Отпущено воды всему населению  2,8 тыс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>3/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Показатель среднесуточного отпуска воды на человека составляет 54 л/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Проектные предложения.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пункта. Произвести инвентаризацию и анкетирование водного хозяйства промышленных предприятий и всех водопользователей.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Для хозяйственно-питьевого водоснабжения необходимо максимально использовать подземные воды. Потребуются мероприятия по строительству и реконструкции групповых водопроводов и децентрализованных систем водоснабжения в сельской местности.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Площадки нового  строительства  предприятий с инновационными системами должны быть обеспечены водоснабжением с применением современных методов водоподготовки.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Перспективное развитие систем водоснабжения предусматривается на площадках агропромышленного комплекса, для которых необходимы собственные водозаборы и водоочистные станции.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Сельскохозяйственные предприятия, объекты животноводства намечается обеспечить водой за счет подземных вод.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Зоны отдыха также обеспечиваются подземными водами.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Необходимо обустроить зоны санитарной охраны водозаборов и водопроводных сооружений на всех объектах, где их нет в настоящее время в соответствии с СанПиН 2.1.4.1110-02.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Ликвидация утечек, ремонт и применение более совершенной арматуры, установка квартирных счетчиков воды позволит снизить объемы водопотребления на 20– 30%  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Водоотведение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Существующее положение.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Основным источником загрязнения водоемов являются неочищенные сточные воды населенных пунктов и поверхностные стоки. Особую опасность представляют неорганизованный сбор и сток отходов ферм, поверхностные воды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поселений. Сельские населенные пункты, в основном, не имеют канализации.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В районе существует 18 комплексов канализационных сооружений.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Одиночное протяжение уличной канализационной сети 33,4 км, из них нуждающиеся в замене 6,8 км.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Всего по району пропущено сточных вод через очистные сооружения 366тыс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>3/год ~1000м3/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. (данные за 2006 г.).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При современном уровне водоотведения практически все очистные сооружения требуют либо увеличения мощности,  либо реконструкции и доочистки стоков.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Проектные предложения.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Для снижения экологической напряженности, уменьшения загрязнения водных объектов, необходимо предусмотреть: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Реконструкцию  существующих очистных сооружений.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Строительство новых КОС в сельских населенных пунктах. Все выпуски должны быть расположены в строгом соответствии с нормативами: СНиП 2.04.03-85 «Канализация. Наружные сети и сооружения», СанПиН 2.1.5.980-00 «Гигиенические требования к охране поверхностных вод».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Все существующие очистные сооружения и все новые должны иметь технологию с внедрением методов глубокой очистки, способом утилизации осадка.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Загрязненные стоки промышленных предприятий отводятся в сети бытовой канализации населенных пунктов. Перед попаданием в общую систему, производственные сточные воды должны пройти через локальные очистные сооружения, при этом степень очистки на них определяется правилами спуска сточных вод в хозяйственно-бытовую сеть.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Для сокращения сброса сточных вод необходимо предусмотреть максимальное внедрение на промышленных предприятиях оборотного, повторного и замкнутого производственного водоснабжения.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Из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неканализованной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застройки, оборудованной выгребами, стоки должны вывозиться на специально оборудованные сооружения – сливные станции.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Для предполагаемых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-технологических центров потребуется строительство систем водоотведения, с применением современных методов очистки стоков.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Электроснабжение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Существующее положение.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lastRenderedPageBreak/>
        <w:t>Электроснабжение потребителей Курского района Курской области осуществляется  от системы ОАО «Курскэнерго». На территории района расположены шесть подстанций 110кВ «Полевая, «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Конарёво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Разиньково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Винниково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», «Клюква», «Беседино» и двенадцать подстанций 35кВ. 10 подстанций района имеют износ оборудования 89-100% и требуют модернизации. Электрическая нагрузка потребителей Курского района за 2005г составила 17,1МВт. В связи со значительным износом необходима поэтапная реконструкция существующих подстанций  110 и 35кВ района с заменой устаревшего оборудования на новое. Загрузка подстанций составляет 6-40,4%, что позволяет подключать к ним дополнительные нагрузки.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Проектные предложения.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Электроэнергетика является основой функционирования экономики и жизнеобеспечения, поэтому стратегической задачей предприятий электроэнергетики является бесперебойное и надежное обеспечение хозяйствующих субъектов, объектов социальной сферы и населения района электроэнергией.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Электрические нагрузки потребителей района на перспективу определены в соответствии с прогнозом их роста, принятом в Схеме развития электрической сети 35-110кВ ОАО «Курскэнерго» до 2012г. с перспективой до 2017г. выполненной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СевЗап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НТЦ ОАО «СЕВЕРО-ЗАПАДНЫЙ ЭНЕРГЕТИЧЕСКИЙ ИНЖИНИРИНГОВЫЙ ЦЕНТР» филиал «Институт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Тулаэнергосетьпроект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». Среднегодовой прирост нагрузок на 1 очередь принят 2,5%,  на расчётный срок – 2%. В соответствии с этим общая удельная нагрузка составит: на 1 очередь - 0,4 кВт на человека, на расчётный срок – 0,47 кВт на человека. Результаты подсчета в зависимости от численности населения на 1 очередь и расчётный срок приведены в таблице № 32.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Прогнозируемые электрические нагрузки потребителей Курского района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Наименование.</w:t>
      </w:r>
      <w:r w:rsidRPr="004724C4">
        <w:rPr>
          <w:rFonts w:ascii="Times New Roman" w:hAnsi="Times New Roman" w:cs="Times New Roman"/>
          <w:sz w:val="28"/>
          <w:szCs w:val="28"/>
        </w:rPr>
        <w:tab/>
        <w:t>Население,  чел.</w:t>
      </w:r>
      <w:r w:rsidRPr="004724C4">
        <w:rPr>
          <w:rFonts w:ascii="Times New Roman" w:hAnsi="Times New Roman" w:cs="Times New Roman"/>
          <w:sz w:val="28"/>
          <w:szCs w:val="28"/>
        </w:rPr>
        <w:tab/>
        <w:t>Нагрузка,  МВт.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ab/>
        <w:t>2015 г.</w:t>
      </w:r>
      <w:r w:rsidRPr="004724C4">
        <w:rPr>
          <w:rFonts w:ascii="Times New Roman" w:hAnsi="Times New Roman" w:cs="Times New Roman"/>
          <w:sz w:val="28"/>
          <w:szCs w:val="28"/>
        </w:rPr>
        <w:tab/>
        <w:t>2020 г.</w:t>
      </w:r>
      <w:r w:rsidRPr="004724C4">
        <w:rPr>
          <w:rFonts w:ascii="Times New Roman" w:hAnsi="Times New Roman" w:cs="Times New Roman"/>
          <w:sz w:val="28"/>
          <w:szCs w:val="28"/>
        </w:rPr>
        <w:tab/>
        <w:t>2015 г.</w:t>
      </w:r>
      <w:r w:rsidRPr="004724C4">
        <w:rPr>
          <w:rFonts w:ascii="Times New Roman" w:hAnsi="Times New Roman" w:cs="Times New Roman"/>
          <w:sz w:val="28"/>
          <w:szCs w:val="28"/>
        </w:rPr>
        <w:tab/>
        <w:t>2020 г.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Всего по району:</w:t>
      </w:r>
      <w:r w:rsidRPr="004724C4">
        <w:rPr>
          <w:rFonts w:ascii="Times New Roman" w:hAnsi="Times New Roman" w:cs="Times New Roman"/>
          <w:sz w:val="28"/>
          <w:szCs w:val="28"/>
        </w:rPr>
        <w:tab/>
        <w:t>47298</w:t>
      </w:r>
      <w:r w:rsidRPr="004724C4">
        <w:rPr>
          <w:rFonts w:ascii="Times New Roman" w:hAnsi="Times New Roman" w:cs="Times New Roman"/>
          <w:sz w:val="28"/>
          <w:szCs w:val="28"/>
        </w:rPr>
        <w:tab/>
        <w:t>44100</w:t>
      </w:r>
      <w:r w:rsidRPr="004724C4">
        <w:rPr>
          <w:rFonts w:ascii="Times New Roman" w:hAnsi="Times New Roman" w:cs="Times New Roman"/>
          <w:sz w:val="28"/>
          <w:szCs w:val="28"/>
        </w:rPr>
        <w:tab/>
        <w:t>19.0</w:t>
      </w:r>
      <w:r w:rsidRPr="004724C4">
        <w:rPr>
          <w:rFonts w:ascii="Times New Roman" w:hAnsi="Times New Roman" w:cs="Times New Roman"/>
          <w:sz w:val="28"/>
          <w:szCs w:val="28"/>
        </w:rPr>
        <w:tab/>
        <w:t>21,0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Электроснабжение потребителей промышленного и сельскохозяйственного комплексов Курского района на перспективу будет обеспечиваться от существующих сетей и подстанций ОАО Курскэнерго.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Для надёжного обеспечения электроэнергией потребителей района, в связи со значительным износом оборудования подстанций и 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35 и 110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и в </w:t>
      </w:r>
      <w:r w:rsidRPr="004724C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со Схемой развития электрической сети 35-110кВ ОАО «Курскэнерго» до 2012г. с перспективой до 2017г. выполненной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СевЗап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НТЦ ОАО «СЕВЕРО-ЗАПАДНЫЙ ЭНЕРГЕТИЧЕСКИЙ ИНЖИНИРИНГОВЫЙ ЦЕНТР» филиал «Институт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Тулаэнергосетьпроект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», в схеме территориального планирования предусматриваются ряд мероприятий по реконструкции существующих и строительству новых объектов энергетики.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Перечень мероприятий по реконструкции существующих и строительству новых объектов энергетики Курского района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№№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ab/>
        <w:t>Наименование</w:t>
      </w:r>
      <w:r w:rsidRPr="004724C4">
        <w:rPr>
          <w:rFonts w:ascii="Times New Roman" w:hAnsi="Times New Roman" w:cs="Times New Roman"/>
          <w:sz w:val="28"/>
          <w:szCs w:val="28"/>
        </w:rPr>
        <w:tab/>
        <w:t>Мероприятия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1 очередь строительства.</w:t>
      </w:r>
      <w:r w:rsidRPr="004724C4">
        <w:rPr>
          <w:rFonts w:ascii="Times New Roman" w:hAnsi="Times New Roman" w:cs="Times New Roman"/>
          <w:sz w:val="28"/>
          <w:szCs w:val="28"/>
        </w:rPr>
        <w:tab/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ab/>
        <w:t>Подстанции 110-35кВ.</w:t>
      </w:r>
      <w:r w:rsidRPr="004724C4">
        <w:rPr>
          <w:rFonts w:ascii="Times New Roman" w:hAnsi="Times New Roman" w:cs="Times New Roman"/>
          <w:sz w:val="28"/>
          <w:szCs w:val="28"/>
        </w:rPr>
        <w:tab/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1</w:t>
      </w:r>
      <w:r w:rsidRPr="004724C4">
        <w:rPr>
          <w:rFonts w:ascii="Times New Roman" w:hAnsi="Times New Roman" w:cs="Times New Roman"/>
          <w:sz w:val="28"/>
          <w:szCs w:val="28"/>
        </w:rPr>
        <w:tab/>
        <w:t>ПС 110кВ «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Разиньково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»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2</w:t>
      </w:r>
      <w:r w:rsidRPr="004724C4">
        <w:rPr>
          <w:rFonts w:ascii="Times New Roman" w:hAnsi="Times New Roman" w:cs="Times New Roman"/>
          <w:sz w:val="28"/>
          <w:szCs w:val="28"/>
        </w:rPr>
        <w:tab/>
        <w:t>ПС110кВ «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Винниково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»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3</w:t>
      </w:r>
      <w:r w:rsidRPr="004724C4">
        <w:rPr>
          <w:rFonts w:ascii="Times New Roman" w:hAnsi="Times New Roman" w:cs="Times New Roman"/>
          <w:sz w:val="28"/>
          <w:szCs w:val="28"/>
        </w:rPr>
        <w:tab/>
        <w:t>ПС 110кВ «Беседино»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 с установкой 2готр-ра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4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ПС 35кВ «Искра» 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5</w:t>
      </w:r>
      <w:r w:rsidRPr="004724C4">
        <w:rPr>
          <w:rFonts w:ascii="Times New Roman" w:hAnsi="Times New Roman" w:cs="Times New Roman"/>
          <w:sz w:val="28"/>
          <w:szCs w:val="28"/>
        </w:rPr>
        <w:tab/>
        <w:t>ПС 35кВ «Стрелецкая»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6</w:t>
      </w:r>
      <w:r w:rsidRPr="004724C4">
        <w:rPr>
          <w:rFonts w:ascii="Times New Roman" w:hAnsi="Times New Roman" w:cs="Times New Roman"/>
          <w:sz w:val="28"/>
          <w:szCs w:val="28"/>
        </w:rPr>
        <w:tab/>
        <w:t>ПС 35кВ «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Петринка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»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7</w:t>
      </w:r>
      <w:r w:rsidRPr="004724C4">
        <w:rPr>
          <w:rFonts w:ascii="Times New Roman" w:hAnsi="Times New Roman" w:cs="Times New Roman"/>
          <w:sz w:val="28"/>
          <w:szCs w:val="28"/>
        </w:rPr>
        <w:tab/>
        <w:t>ПС 35кВ «Безлесная»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8</w:t>
      </w:r>
      <w:r w:rsidRPr="004724C4">
        <w:rPr>
          <w:rFonts w:ascii="Times New Roman" w:hAnsi="Times New Roman" w:cs="Times New Roman"/>
          <w:sz w:val="28"/>
          <w:szCs w:val="28"/>
        </w:rPr>
        <w:tab/>
        <w:t>ПС 35кВ «Оросительная»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9</w:t>
      </w:r>
      <w:r w:rsidRPr="004724C4">
        <w:rPr>
          <w:rFonts w:ascii="Times New Roman" w:hAnsi="Times New Roman" w:cs="Times New Roman"/>
          <w:sz w:val="28"/>
          <w:szCs w:val="28"/>
        </w:rPr>
        <w:tab/>
        <w:t>ПС 35кВ «Новая»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10</w:t>
      </w:r>
      <w:r w:rsidRPr="004724C4">
        <w:rPr>
          <w:rFonts w:ascii="Times New Roman" w:hAnsi="Times New Roman" w:cs="Times New Roman"/>
          <w:sz w:val="28"/>
          <w:szCs w:val="28"/>
        </w:rPr>
        <w:tab/>
        <w:t>ПС 35кВ «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Моква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»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11</w:t>
      </w:r>
      <w:r w:rsidRPr="004724C4">
        <w:rPr>
          <w:rFonts w:ascii="Times New Roman" w:hAnsi="Times New Roman" w:cs="Times New Roman"/>
          <w:sz w:val="28"/>
          <w:szCs w:val="28"/>
        </w:rPr>
        <w:tab/>
        <w:t>ПС 35кВ «ЖБИ»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12</w:t>
      </w:r>
      <w:r w:rsidRPr="004724C4">
        <w:rPr>
          <w:rFonts w:ascii="Times New Roman" w:hAnsi="Times New Roman" w:cs="Times New Roman"/>
          <w:sz w:val="28"/>
          <w:szCs w:val="28"/>
        </w:rPr>
        <w:tab/>
        <w:t>ПС 35кВ «Ленинская»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13</w:t>
      </w:r>
      <w:r w:rsidRPr="004724C4">
        <w:rPr>
          <w:rFonts w:ascii="Times New Roman" w:hAnsi="Times New Roman" w:cs="Times New Roman"/>
          <w:sz w:val="28"/>
          <w:szCs w:val="28"/>
        </w:rPr>
        <w:tab/>
        <w:t>ПС 35кВ «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»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110 - 35кВ</w:t>
      </w:r>
      <w:r w:rsidRPr="004724C4">
        <w:rPr>
          <w:rFonts w:ascii="Times New Roman" w:hAnsi="Times New Roman" w:cs="Times New Roman"/>
          <w:sz w:val="28"/>
          <w:szCs w:val="28"/>
        </w:rPr>
        <w:tab/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1</w:t>
      </w:r>
      <w:r w:rsidRPr="004724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110кВ Клюква- Лесная</w:t>
      </w:r>
      <w:r w:rsidRPr="004724C4">
        <w:rPr>
          <w:rFonts w:ascii="Times New Roman" w:hAnsi="Times New Roman" w:cs="Times New Roman"/>
          <w:sz w:val="28"/>
          <w:szCs w:val="28"/>
        </w:rPr>
        <w:tab/>
        <w:t>новое строительство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2</w:t>
      </w:r>
      <w:r w:rsidRPr="004724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35кВ Зверосовхоз -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Конарёво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ab/>
        <w:t>демонтаж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3</w:t>
      </w:r>
      <w:r w:rsidRPr="004724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35кВ Волокно-Стрелецкая-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Петринка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.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4</w:t>
      </w:r>
      <w:r w:rsidRPr="004724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35кВ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Счётмаш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-Новая-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Моква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.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5</w:t>
      </w:r>
      <w:r w:rsidRPr="004724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35кВ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Петринка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-Безлесная.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6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ВЛ35кВ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Амосовка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-Безлесная.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7</w:t>
      </w:r>
      <w:r w:rsidRPr="004724C4">
        <w:rPr>
          <w:rFonts w:ascii="Times New Roman" w:hAnsi="Times New Roman" w:cs="Times New Roman"/>
          <w:sz w:val="28"/>
          <w:szCs w:val="28"/>
        </w:rPr>
        <w:tab/>
        <w:t>ВЛ35кВ Беседино-Искра.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8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ВЛ35кВ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Разиньково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-Пригородная-Садовая</w:t>
      </w:r>
      <w:r w:rsidRPr="004724C4">
        <w:rPr>
          <w:rFonts w:ascii="Times New Roman" w:hAnsi="Times New Roman" w:cs="Times New Roman"/>
          <w:sz w:val="28"/>
          <w:szCs w:val="28"/>
        </w:rPr>
        <w:tab/>
        <w:t>реконструкция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9</w:t>
      </w:r>
      <w:r w:rsidRPr="004724C4">
        <w:rPr>
          <w:rFonts w:ascii="Times New Roman" w:hAnsi="Times New Roman" w:cs="Times New Roman"/>
          <w:sz w:val="28"/>
          <w:szCs w:val="28"/>
        </w:rPr>
        <w:tab/>
        <w:t>ВЛ35кВ Отпайка на ПС «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Моква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»</w:t>
      </w:r>
      <w:r w:rsidRPr="004724C4">
        <w:rPr>
          <w:rFonts w:ascii="Times New Roman" w:hAnsi="Times New Roman" w:cs="Times New Roman"/>
          <w:sz w:val="28"/>
          <w:szCs w:val="28"/>
        </w:rPr>
        <w:tab/>
        <w:t>новое строительство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10</w:t>
      </w:r>
      <w:r w:rsidRPr="004724C4">
        <w:rPr>
          <w:rFonts w:ascii="Times New Roman" w:hAnsi="Times New Roman" w:cs="Times New Roman"/>
          <w:sz w:val="28"/>
          <w:szCs w:val="28"/>
        </w:rPr>
        <w:tab/>
        <w:t>ВЛ35кВ Отпайка на ПС «Оросительная»</w:t>
      </w:r>
      <w:r w:rsidRPr="004724C4">
        <w:rPr>
          <w:rFonts w:ascii="Times New Roman" w:hAnsi="Times New Roman" w:cs="Times New Roman"/>
          <w:sz w:val="28"/>
          <w:szCs w:val="28"/>
        </w:rPr>
        <w:tab/>
        <w:t>новое строительство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11</w:t>
      </w:r>
      <w:r w:rsidRPr="004724C4">
        <w:rPr>
          <w:rFonts w:ascii="Times New Roman" w:hAnsi="Times New Roman" w:cs="Times New Roman"/>
          <w:sz w:val="28"/>
          <w:szCs w:val="28"/>
        </w:rPr>
        <w:tab/>
        <w:t>ВЛ35кВ  Беседино Искра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>овое строительство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ab/>
        <w:t>Расчётный срок.</w:t>
      </w:r>
      <w:r w:rsidRPr="004724C4">
        <w:rPr>
          <w:rFonts w:ascii="Times New Roman" w:hAnsi="Times New Roman" w:cs="Times New Roman"/>
          <w:sz w:val="28"/>
          <w:szCs w:val="28"/>
        </w:rPr>
        <w:tab/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35кВ.</w:t>
      </w:r>
      <w:r w:rsidRPr="004724C4">
        <w:rPr>
          <w:rFonts w:ascii="Times New Roman" w:hAnsi="Times New Roman" w:cs="Times New Roman"/>
          <w:sz w:val="28"/>
          <w:szCs w:val="28"/>
        </w:rPr>
        <w:tab/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1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 ВЛ35кВ Заход на ПС «Стрелецкая»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>овое строительство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2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 ВЛ35кВ Заход на ПС «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»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 новое строительство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Для обеспечения электроэнергией потребителей нового строительства в населённых пунктах района наряду с реконструкцией сетей и подстанций 35-110кВ потребуется строительства сетей 10-0,4кВ и подстанций напряжением 10\0,4кВ.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Теплоснабжение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В связи с тем, что на перспективу в районе не предполагается увеличения численности населения, основной задачей теплоснабжающих организаций района является предоставление качественных услуг для населения, предприятий и организаций всех форм собственности по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теплообеспечению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. Теплоснабжение жилищного фонда и объектов соцкультбыта района осуществляется от 98-и котельных (39 – в городе, 59 – в сёлах). Отпуск тепловой энергии за 2006 г. составил 4999 тыс. Гкал. Топливом для котельных служат газ и мазут. Процент износа теплоисточников и тепловых сетей весьма значителен. Централизованное теплоснабжение развито слабо, особенно в сельских населённых пунктах.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Выводы: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Дальнейшее развитие теплоснабжения района базируется на программе технического перевооружения и строительства новых элементов всей структуры теплового хозяйства: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необходима модернизация существующих и строительство новых котельных на базе современных высокоэффективных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котлоагрегатов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, технологий и материалов.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строительство новых и реконструкция действующих теплоисточников, что улучшит теплоснабжение малых поселков и деревень района, обеспечит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теплоэнергией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строящиеся объекты сельского хозяйства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В рамках областной  целевой программы «Энергосбережение Курской области на период  2006–2010 годы» предусматривается перевод  котельных района на газообразное топливо. Газификация района даст значительный стимул развитию централизованного теплоснабжения района.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Газоснабжение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По территории района проходят: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коридор магистральных газопроводов Ямбург – Западная граница РФ Ф1420мм, Еле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Кременчуг – Кривой Рог Ф1420мм, Уренгой – Ужгород Ф1420мм, Елец – Курск – Диканька Ф 1220мм, Елец – Курск – Киев Ф1220мм;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магистральный газопровод -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Шебелинка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– Брянск Ф1000мм;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межпоселковые газопроводы высокого давления;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В районе функционируют: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8 газораспределительных станций ГРС (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, гос. заповедника, АГРС-1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Черницыно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, АГРС -2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Моква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В.Косиново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, 1-а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Петринка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);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5 головных газорегуляторных пунктов (ГГРП);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газонаполнительная станция – ГНС.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По району проложено 84,7 км газопроводов. Обеспеченность населённых пунктов района на базе природного газа весьма низкая.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Выводы: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Развитие газоснабжения района на перспективу предполагается в соответствии с решениями Схемы газоснабжения Курской области, разработанной ОАО «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Гипрониигаз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» в 2002году по заказу Комитета строительства и стройиндустрии Курской области.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В рамках этой работы выполнена и Схема распределительных газопроводов и головных сооружений Курского района. Схема предусматривает строительство межпоселковых газопроводов высокого давления, газорегуляторных пунктов – ГРП, газификацию 35 населённых пунктов. Реализация программных мероприятий позволит: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повысить уровень газификации по району;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провести модернизацию муниципальных и ведомственных котельных с переводом их на газовое топливо.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Развитие газификации населенных пунктов района позволит получить высокий социальный и экономический эффект: существенно улучшится качество жизни населения, при этом возрастёт надёжность теплоснабжения и обеспечится устойчивое сохранение окружающей среды.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Связь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На территории города Курска и Курского района в период с 2005 по 2007 годы кроме Курского филиала ОАО «ЦентрТелеком» активно развивается ЗАО «Курская телефонная компания».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На территории Курской области и Курского района за последние пять лет успешно развивается мобильная (сотовая) связь.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lastRenderedPageBreak/>
        <w:t>На территории Курского района услуги мобильной (сотовой) телефонной связи оказывают четыре оператора сотовой связи: Курский филиал ОАО «ВымпелКом» (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), Курский филиал ОАО «МТС», Курский филиал ОАО «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Мобиком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-Центр» (Мегафон) и ЗАО «Курская сотовая связь» (Теле-2). Практически вся территория района находится в зоне действия сотовых компаний. На территории района размещены 11 вышек разных операторов сотовой связи.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В настоящее время на территории Курского района по эфиру распространяется девять общефедеральных телевизионных программ: «ОРТ», «РТР», «ТВЦ», «НТВ», «Культура», «СТС», «REN TV», «ТНТ», «7ТВ» и пять местных: ГТРК «Курск», «ТВЦ-Курск», «Такт», ТВ-6 «Курск», «Курское региональное телевидение» ("КРТ»).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Основным оператором эфирного распространения телевизионного сигнала на территории района является Курский областной радиотелевизионный передающий центр – филиал ФГУП «Российская телевизионная и радиовещательная сеть» (ОРТПЦ), который обеспечивает трансляцию программ «ОРТ», программ «РТР», программ «НТВ», «ТВЦ», «7ТВ», «Культура».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В 2006 году ведена в действие наземная спутниковая станция в г. Курске, которая позволила жителям района смотреть областные программы ГТРК «Курск» и «КРТ» с использованием 15 существующих передатчиков эфирного телевещания каналов «Россия» и «КРТ».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Проектные предложения.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Основными задачами развития средств связи, телекоммуникаций, информационных технологий и тел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радиовещания района является: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развитие рынка услуг телефонной связи общего пользования и сотовой телефонии, особенно в сельской местности, обновление технической базы телефонной связи с переходом на цифровые АТС и оптические кабели;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развитие сети почтовой связи и расширение новых видов услуг: электронной почты, пунктов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для населения на основе автоматизированной сети связи Курской области;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увеличение количества программ 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- и радиовещания, транслируемых на территории района, подготовка сети телевизионного вещания к переходу в 2015 году в России на цифровое вещание, развитие систем кабельного телевидения в населенных пунктах района.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Возможности по трансляции большего (по сравнению с сегодняшним днем) количества телерадиопрограмм, а также доступа в сеть Интернет (в том числе и без наличия компьютера) будут способствовать более полному </w:t>
      </w:r>
      <w:r w:rsidRPr="004724C4">
        <w:rPr>
          <w:rFonts w:ascii="Times New Roman" w:hAnsi="Times New Roman" w:cs="Times New Roman"/>
          <w:sz w:val="28"/>
          <w:szCs w:val="28"/>
        </w:rPr>
        <w:lastRenderedPageBreak/>
        <w:t>обеспечению конституционных прав граждан на получение современной и достоверной информации. Жители района смогут получать различные инфокоммуникационные услуги.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12.  МЕРОПРИЯТИЯ  ПО  СОХРАНЕНИЮ  ОБЪЕКТОВ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КУЛЬТУРНОГО  НАСЛЕДИЯ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Общая оценка историко-культурного и природного наследия Курского района показывает, что в районе ведется активная работа по сохранению национального достояния. Но также район нуждается в разработке градостроительной документации, направленной на планомерное сохранение и использование в научных целях историко-культурного наследия.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Основной задачей в сфере культурного наследия является осуществление на территории района государственной политики в сфере охраны объектов культурного наследия, обеспечивающей доступ граждан к культурным ценностям, и направленной на сохранение исторического и культурного наследия – недвижимых объектов культурного наследия. Для решения этой задачи осуществляется деятельность по нескольким направлениям: государственная охрана, сохранение, использование и популяризация.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Результаты мероприятий по обеспечению сохранности объектов культурного наследия являются основным критерием эффективности деятельности органов власти, общественных и религиозных организаций, а также граждан по охране, сохранению, использованию и популяризации данных объектов.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Основными мероприятиями по сохранению культурного наследия района должны, в первую очередь, стать проектные градостроительные документы: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Предложения Схемы территориального планирования Курского района по выделению особо ценных историко-культурных и природных зон – природных парков и историко-культурных заповедников, а также достопримечательных мест;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Проекты охранных зон отдельных объектов истории и культуры;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Детализируя вышеперечисленные мероприятия, предлагаются следующие шаги: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Активизация разработки охранных зон и паспортизации памятников.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Подготовка и принятие региональных и местных постановлений о сохранении объектов природного и культурно-исторического наследия.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Дальнейший учёт и изучение историко-культурного и природного наследия района. Корректировка Каталога памятников истории и культуры </w:t>
      </w:r>
      <w:r w:rsidRPr="004724C4">
        <w:rPr>
          <w:rFonts w:ascii="Times New Roman" w:hAnsi="Times New Roman" w:cs="Times New Roman"/>
          <w:sz w:val="28"/>
          <w:szCs w:val="28"/>
        </w:rPr>
        <w:lastRenderedPageBreak/>
        <w:t>района − списков памятников, добавления и уточнения: принадлежности, категорий охраны, состояния и др.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Популяризация памятников является одной из форм их охраны и привлечения инвесторов для их реконструкции. Необходимо для широкой пропаганды культурного наследия и патриотического к нему отношения активно использовать СМИ.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Создание сети внештатных общественных инспекторов по охране памятников природы, истории и культуры области. У каждого памятника должен быть свой общественный куратор (специалисты отделов культуры, краеведы, учащиеся).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Обозначение болевых проблемных памятников, требующих первоочередного внимания. Силами района организация срочной консервации бесхозных  объектов.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Привлечение кредитов и инвестиций на разработку и реализацию проектов по восстановлению и реконструкции памятников истории и культуры.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>Создание сайта в системе Интернет, представляющего рынку недвижимости бесхозные объекты, сброс ссылок по тематическим сайтам на краткую информацию о памятнике, требующем срочного выкупа и инвестирования.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13.  МЕРОПРИЯТИЯ  ПО  ОХРАНЕ  ОКРУЖАЮЩЕЙ  СРЕДЫ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Охрана природы – одна из приоритетных проблем развития любых поселений, направлена на сохранение и улучшение среды обитания населения, как настоящего, так и будущего поколений.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Курский район окружает областной центр и, следовательно, является экологическим донором – поставщиком в крупный город чистого воздуха, водных ресурсов, выступает и «вместилищем отходов» г. Курска (твердых, воздушных и водных загрязнений).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На территории района сформировался  крупнейший в области ареал хронического загрязнения в результате преимущественно Курских городских выбросов в атмосферу.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При анализе экологической ситуации на территории района можно выделить следующие наиболее серьезные проблемы: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несоблюдение СЗЗ от ряда предприятий, транспортных, коммунальных и складских объектов;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отсутствие проектов единой санитарно-защитной зоны от производственных зон и ряда отдельно расположенных объектов;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отсутствие организации и благоустройства СЗЗ у ряда  промышленных предприятий и  коммунальных объектов района;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несоблюдение санитарно-защитных зон от закрытых скотомогильников, большинства МТФ и свиноферм;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отсутствие зон санитарной охраны у части источников водоснабжения;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низкое качество воды в родниках и колодцах;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отсутствие системы дождевой канализации;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отсутствие полного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канализования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сельсоветов района;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наличие в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зонах объектов, нарушающих режим хозяйственной деятельности;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отсутствие исследований почв на химическое загрязнение и недостаточное исследование бактериологического загрязнения почв;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неудовлетворительная организация сбора и утилизации бытовых отходов в сельской местности;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наличие на территории района стихийных свалок;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На территории района можно выделить следующие приоритетные природоохранные меры: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Острая необходимость организационных и планировочных решений по обузданию стихии дачно-рекреационной экспансии (незаконное строительство, в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зонах и на других экологически ценных территориях).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>Формирование зелёной зоны, окружающей Курск – пояс его экологической безопасности, с ограниченным режимом использования территории. Формирование такой буферной зоны экологически полезно как для города, так и для района.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 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Сохранение ценных ландшафтов заповедника требует удаления автотрассы от его границ (или, по меньшей мере, снижения интенсивности движения), а также проведение комплекса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рекультивационных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мер на бывшей городской свалке.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13.1. Охрана и рациональное использование водных ресурсов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Курская область в целом, и Курский район в частности, относятся к территориям с невысокой обеспеченностью населения ресурсами речного стока. В настоящее время на одного жителя района приходятся в среднем только 3200 м3 воды в год. Сочетание низкой водности рек и высокой </w:t>
      </w:r>
      <w:r w:rsidRPr="004724C4">
        <w:rPr>
          <w:rFonts w:ascii="Times New Roman" w:hAnsi="Times New Roman" w:cs="Times New Roman"/>
          <w:sz w:val="28"/>
          <w:szCs w:val="28"/>
        </w:rPr>
        <w:lastRenderedPageBreak/>
        <w:t xml:space="preserve">плотности населения создает предпосылки к обострению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гидроэкологической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ситуации. Наиболее крупными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водопотребителями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являются ТЭЦ-1 – 69 млн. м3 и АЭС – 63,3 млн. м3. Если в водопотреблении и водоотведении лидирует энергетика, то основной объем загрязнённых сточных вод сбрасывает в водоемы района жилищно-коммунальное хозяйство.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Очистные сооружения «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Курскводоканала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» работают неэффективно, ряд предприятий города не имеют локальных очистных сооружений, их сточные воды поступают на городские очистные сооружения с загрязнениями, превышающими допустимые нормативы. Кроме того, на очистных сооружениях МУП «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Курскводоканала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» отсутствуют сооружения доочистки от биогенных веществ – соединений азота и фосфора. Необходимы как строительство очистных локальных сооружений на предприятиях, так и доочистка стоков на городских сооружениях, а также увеличение их мощности.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Основные причины неудовлетворительного состояния очистных сооружений: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изношенность оборудования и слабая материально-техническая оснащенность,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•</w:t>
      </w:r>
      <w:r w:rsidRPr="004724C4">
        <w:rPr>
          <w:rFonts w:ascii="Times New Roman" w:hAnsi="Times New Roman" w:cs="Times New Roman"/>
          <w:sz w:val="28"/>
          <w:szCs w:val="28"/>
        </w:rPr>
        <w:tab/>
        <w:t xml:space="preserve">устаревшие технологии очистки.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С ливневым стоком в водные объекты Курска попадает практически столько же тяжёлых металлов, сколько и со сточными водами, прошедшими очистку. Город является мощным источником загрязнения русловых вод взвешенными веществами. С ливневым поверхностным стоком их поступает в водотоки в 1,6 раз больше, чем со сточными водами.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В связи с этим чрезвычайно актуальны меры по сокращению загрязнения ливневого поверхностного стока: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1. Развитие городских и поселковых систем дождевой канализации, строительство очистных сооружений дождевой канализации.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2. Рекультивация земель в пределах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зон и прибрежных защитных полос, где часто расположены свалки и проложены грунтовые дороги.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3. Берегоукрепительные мероприятия (лесопосадки) в местах интенсивной эрозии и рекреационной нагрузки, особенно в зоне индивидуальной застройки, где формируется большой объем твердого стока в весеннем половодье. Противоэрозионная деятельность особенно необходима в районах интенсивного строительства, проведения работ по ремонту и прокладке коммуникаций.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lastRenderedPageBreak/>
        <w:t xml:space="preserve">4. Проведение мониторинга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зон и прибрежных защитных полос (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Борзёнков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Кумани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>, 2007).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Курскому району должно уделяться первоочередное внимание природоохранных органов в области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гидроэкологического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риска. В районе возможен максимальный ущерб населению и водным экосистемам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Крупномасштабное воздействие на подземные воды привело к формированию обширной воронки депрессии.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13.2. Охрана воздушного бассейна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В настоящее время основную долю выбросов вредных веществ в атмосферу района обеспечивает автотранспорт – 83%, на стационарные источники приходится 17%.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По данным ГИБДД наибольшая нагрузка падает на автостраду Москва – Симферополь.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За последние четверть века транспортная нагрузка возросла почти в 2,5 раза, в ее структуре очень увеличилась доля легкового транспорта.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В 2006 г. от стационарных источников выброшено в атмосферу 33,755 тыс. т загрязняющих веществ. Выбросы предприятий пищевой промышленности сопоставимы с выбросами такой экологически «агрессивной отрасли», как энергетика. По выбросам её опережает и транспортно-дорожный комплекс.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Качество атмосферного воздуха в г. Курске. Основной источник загрязнения воздуха в городе – это автотранспорт, его вклад составляет 75,8%.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>В 2006 г. в целом по городу уровень загрязнения воздуха оценивался по-прежнему как «высокий». По сравнению со средними концентрациями загрязняющих веществ городов Европейской части России в г. Курске они в основном ниже на 10-70%, а диоксида азота и формальдегида – выше соответственно на 30 и 5%. Наиболее загрязнена центральная часть города – улицы Мирная, Энгельса, К. Маркса, Ленина, Союзная, а также пос. Аккумулятор.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атмосфероохранных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проблем города </w:t>
      </w:r>
      <w:proofErr w:type="gramStart"/>
      <w:r w:rsidRPr="004724C4">
        <w:rPr>
          <w:rFonts w:ascii="Times New Roman" w:hAnsi="Times New Roman" w:cs="Times New Roman"/>
          <w:sz w:val="28"/>
          <w:szCs w:val="28"/>
        </w:rPr>
        <w:t>Курска</w:t>
      </w:r>
      <w:proofErr w:type="gramEnd"/>
      <w:r w:rsidRPr="004724C4">
        <w:rPr>
          <w:rFonts w:ascii="Times New Roman" w:hAnsi="Times New Roman" w:cs="Times New Roman"/>
          <w:sz w:val="28"/>
          <w:szCs w:val="28"/>
        </w:rPr>
        <w:t xml:space="preserve"> прежде всего, технические (усовершенствование автопарка) и планировочные – улучшение планировочной структуры города (строительство дорог, транспортных развязок, объездных путей и т.п.). В зонах накопления тяжелых металлов нежелательно размещение школ, детских садов, больниц и других учреждений, функционирование которых особо чувствительно к загрязнению среды. Целесообразно также вывести из таких зон уже действующие учреждения.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Актуальное в настоящее время направление охраны воздушной среды Курского района – модернизация очистных сооружений и технологий. 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4C4">
        <w:rPr>
          <w:rFonts w:ascii="Times New Roman" w:hAnsi="Times New Roman" w:cs="Times New Roman"/>
          <w:sz w:val="28"/>
          <w:szCs w:val="28"/>
        </w:rPr>
        <w:t xml:space="preserve">Уровень оснащённости предприятий района очистными установками по очистке воздушных выбросов весьма низок. Большое число действующих </w:t>
      </w:r>
      <w:proofErr w:type="spellStart"/>
      <w:r w:rsidRPr="004724C4">
        <w:rPr>
          <w:rFonts w:ascii="Times New Roman" w:hAnsi="Times New Roman" w:cs="Times New Roman"/>
          <w:sz w:val="28"/>
          <w:szCs w:val="28"/>
        </w:rPr>
        <w:t>пылегазоулавливающих</w:t>
      </w:r>
      <w:proofErr w:type="spellEnd"/>
      <w:r w:rsidRPr="004724C4">
        <w:rPr>
          <w:rFonts w:ascii="Times New Roman" w:hAnsi="Times New Roman" w:cs="Times New Roman"/>
          <w:sz w:val="28"/>
          <w:szCs w:val="28"/>
        </w:rPr>
        <w:t xml:space="preserve"> установок работает недостаточно эффективно. Поэтому значительные резервы совершенствования охраны атмосферного воздуха заключается уже в оснащении предприятий очистными установками и эффективной их эксплуатации.</w:t>
      </w:r>
    </w:p>
    <w:p w:rsidR="004724C4" w:rsidRPr="004724C4" w:rsidRDefault="004724C4" w:rsidP="004724C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24C4" w:rsidRPr="0047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9C"/>
    <w:rsid w:val="004724C4"/>
    <w:rsid w:val="00A570B0"/>
    <w:rsid w:val="00D2611F"/>
    <w:rsid w:val="00E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5288</Words>
  <Characters>30144</Characters>
  <Application>Microsoft Office Word</Application>
  <DocSecurity>0</DocSecurity>
  <Lines>251</Lines>
  <Paragraphs>70</Paragraphs>
  <ScaleCrop>false</ScaleCrop>
  <Company/>
  <LinksUpToDate>false</LinksUpToDate>
  <CharactersWithSpaces>35362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3</cp:revision>
  <dcterms:created xsi:type="dcterms:W3CDTF">2010-12-16T13:19:00Z</dcterms:created>
  <dcterms:modified xsi:type="dcterms:W3CDTF">2010-12-16T13:30:00Z</dcterms:modified>
</cp:coreProperties>
</file>