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27" w:rsidRPr="009D3106" w:rsidRDefault="00105327" w:rsidP="0010532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105327" w:rsidRPr="009D3106" w:rsidRDefault="00105327" w:rsidP="00105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105327" w:rsidRPr="009D3106" w:rsidRDefault="00105327" w:rsidP="00105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105327" w:rsidRPr="009D3106" w:rsidRDefault="00105327" w:rsidP="00105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 w:rsidRPr="009D3106"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105327" w:rsidRPr="009D3106" w:rsidRDefault="00105327" w:rsidP="0010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en-US"/>
        </w:rPr>
      </w:pPr>
    </w:p>
    <w:p w:rsidR="00105327" w:rsidRPr="009D3106" w:rsidRDefault="00105327" w:rsidP="001053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18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октября 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>2018г.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9D3106">
        <w:rPr>
          <w:rFonts w:ascii="Times New Roman" w:eastAsia="Times New Roman" w:hAnsi="Times New Roman" w:cs="Times New Roman"/>
          <w:sz w:val="28"/>
          <w:szCs w:val="28"/>
          <w:lang w:eastAsia="en-US"/>
        </w:rPr>
        <w:t>-3-2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71</w:t>
      </w:r>
    </w:p>
    <w:p w:rsidR="00105327" w:rsidRDefault="00105327" w:rsidP="00105327">
      <w:pPr>
        <w:spacing w:after="0" w:line="240" w:lineRule="auto"/>
        <w:ind w:right="2552"/>
        <w:outlineLvl w:val="0"/>
        <w:rPr>
          <w:rFonts w:ascii="Times New Roman" w:hAnsi="Times New Roman"/>
          <w:sz w:val="28"/>
        </w:rPr>
      </w:pPr>
    </w:p>
    <w:p w:rsidR="00105327" w:rsidRDefault="00105327" w:rsidP="001053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4F77" w:rsidRPr="00BF4F77" w:rsidRDefault="00BF4F77" w:rsidP="0010532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BF4F77" w:rsidRPr="00BF4F77" w:rsidRDefault="00BF4F77" w:rsidP="00BF4F7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 xml:space="preserve">муниципальных гарантий по инвестиционным </w:t>
      </w:r>
    </w:p>
    <w:p w:rsidR="00BF4F77" w:rsidRPr="00BF4F77" w:rsidRDefault="00BF4F77" w:rsidP="00BF4F7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 xml:space="preserve">проектам на конкурсной основе за счет средств </w:t>
      </w:r>
    </w:p>
    <w:p w:rsidR="00BF4F77" w:rsidRPr="00BF4F77" w:rsidRDefault="00BF4F77" w:rsidP="00BF4F7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>бюджета Курского района Курской области</w:t>
      </w:r>
    </w:p>
    <w:p w:rsidR="00BF4F77" w:rsidRPr="00BF4F77" w:rsidRDefault="00BF4F77" w:rsidP="00BF4F77">
      <w:pPr>
        <w:spacing w:after="0" w:line="240" w:lineRule="auto"/>
        <w:ind w:right="2408"/>
        <w:outlineLvl w:val="0"/>
        <w:rPr>
          <w:rFonts w:ascii="Times New Roman" w:hAnsi="Times New Roman" w:cs="Times New Roman"/>
          <w:sz w:val="28"/>
          <w:szCs w:val="28"/>
        </w:rPr>
      </w:pPr>
    </w:p>
    <w:p w:rsidR="00BF4F77" w:rsidRPr="00BF4F77" w:rsidRDefault="00BF4F77" w:rsidP="00BF4F7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F4F77" w:rsidRPr="00BF4F77" w:rsidRDefault="00BF4F77" w:rsidP="00BF4F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 xml:space="preserve">В соответствии со статьей 115.2 Бюджетного кодекса Российской Федерации, </w:t>
      </w:r>
      <w:r w:rsidR="00D73E86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BF4F77">
        <w:rPr>
          <w:rFonts w:ascii="Times New Roman" w:hAnsi="Times New Roman" w:cs="Times New Roman"/>
          <w:sz w:val="28"/>
          <w:szCs w:val="28"/>
        </w:rPr>
        <w:t>2 ст</w:t>
      </w:r>
      <w:r w:rsidR="00D73E86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F4F77">
        <w:rPr>
          <w:rFonts w:ascii="Times New Roman" w:hAnsi="Times New Roman" w:cs="Times New Roman"/>
          <w:sz w:val="28"/>
          <w:szCs w:val="28"/>
        </w:rPr>
        <w:t xml:space="preserve">19 Федерального закона от 25.02.1999 № 39-ФЗ «Об инвестиционной деятельности в Российской Федерации, осуществляемой в форме капитальных вложений», Уставом муниципального района «Курский район» Курской области, Представительное Собрание Курского района Курской области РЕШИЛО:  </w:t>
      </w:r>
    </w:p>
    <w:p w:rsidR="00BF4F77" w:rsidRPr="00BF4F77" w:rsidRDefault="00BF4F77" w:rsidP="00BF4F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4F77" w:rsidRPr="00BF4F77" w:rsidRDefault="00BF4F77" w:rsidP="00BF4F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муниципальных гарантий по инвестиционным проектам на конкурсной основе за счет средств бюджета Курского района Курской области (прилагается). </w:t>
      </w:r>
    </w:p>
    <w:p w:rsidR="00BF4F77" w:rsidRPr="001B344E" w:rsidRDefault="00370712" w:rsidP="00BF4F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4F77" w:rsidRPr="00BF4F7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BF4F77" w:rsidRPr="00BF4F77">
        <w:rPr>
          <w:rFonts w:ascii="Times New Roman" w:hAnsi="Times New Roman" w:cs="Times New Roman"/>
          <w:spacing w:val="-1"/>
          <w:sz w:val="28"/>
          <w:szCs w:val="28"/>
        </w:rPr>
        <w:t xml:space="preserve"> его опубликования на официальном сайте </w:t>
      </w:r>
      <w:r w:rsidR="00BF4F77" w:rsidRPr="001B344E">
        <w:rPr>
          <w:rFonts w:ascii="Times New Roman" w:hAnsi="Times New Roman" w:cs="Times New Roman"/>
          <w:spacing w:val="-1"/>
          <w:sz w:val="28"/>
          <w:szCs w:val="28"/>
        </w:rPr>
        <w:t>Администрации Курского района Курской области (</w:t>
      </w:r>
      <w:hyperlink r:id="rId7" w:history="1">
        <w:r w:rsidR="00BF4F77" w:rsidRPr="001B344E">
          <w:rPr>
            <w:rStyle w:val="a8"/>
            <w:rFonts w:ascii="Times New Roman" w:hAnsi="Times New Roman" w:cs="Times New Roman"/>
            <w:color w:val="auto"/>
            <w:spacing w:val="-1"/>
            <w:sz w:val="28"/>
            <w:szCs w:val="28"/>
          </w:rPr>
          <w:t>http://kurskr.rkursk.ru</w:t>
        </w:r>
      </w:hyperlink>
      <w:r w:rsidR="00BF4F77" w:rsidRPr="001B344E">
        <w:rPr>
          <w:rFonts w:ascii="Times New Roman" w:hAnsi="Times New Roman" w:cs="Times New Roman"/>
          <w:spacing w:val="-1"/>
          <w:sz w:val="28"/>
          <w:szCs w:val="28"/>
        </w:rPr>
        <w:t xml:space="preserve">). </w:t>
      </w:r>
    </w:p>
    <w:p w:rsidR="00BF4F77" w:rsidRPr="00BF4F77" w:rsidRDefault="00BF4F77" w:rsidP="00BF4F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4F77" w:rsidRPr="00BF4F77" w:rsidRDefault="00BF4F77" w:rsidP="00BF4F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4F77" w:rsidRPr="00BF4F77" w:rsidRDefault="00BF4F77" w:rsidP="00BF4F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4F77" w:rsidRPr="00BF4F77" w:rsidRDefault="00BF4F77" w:rsidP="00BF4F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BF4F77" w:rsidRPr="00BF4F77" w:rsidRDefault="00BF4F77" w:rsidP="00BF4F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8"/>
          <w:szCs w:val="28"/>
        </w:rPr>
        <w:tab/>
      </w:r>
      <w:r w:rsidRPr="00BF4F77">
        <w:rPr>
          <w:rFonts w:ascii="Times New Roman" w:hAnsi="Times New Roman" w:cs="Times New Roman"/>
          <w:sz w:val="28"/>
          <w:szCs w:val="28"/>
        </w:rPr>
        <w:tab/>
      </w:r>
      <w:r w:rsidRPr="00BF4F77">
        <w:rPr>
          <w:rFonts w:ascii="Times New Roman" w:hAnsi="Times New Roman" w:cs="Times New Roman"/>
          <w:sz w:val="28"/>
          <w:szCs w:val="28"/>
        </w:rPr>
        <w:tab/>
      </w:r>
      <w:r w:rsidRPr="00BF4F77">
        <w:rPr>
          <w:rFonts w:ascii="Times New Roman" w:hAnsi="Times New Roman" w:cs="Times New Roman"/>
          <w:sz w:val="28"/>
          <w:szCs w:val="28"/>
        </w:rPr>
        <w:tab/>
      </w:r>
      <w:r w:rsidRPr="00BF4F77">
        <w:rPr>
          <w:rFonts w:ascii="Times New Roman" w:hAnsi="Times New Roman" w:cs="Times New Roman"/>
          <w:sz w:val="28"/>
          <w:szCs w:val="28"/>
        </w:rPr>
        <w:tab/>
        <w:t xml:space="preserve">   А.Н. Пашутин</w:t>
      </w:r>
    </w:p>
    <w:p w:rsidR="00BF4F77" w:rsidRPr="00BF4F77" w:rsidRDefault="00BF4F77" w:rsidP="00BF4F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3E86" w:rsidRPr="00BF4F77" w:rsidRDefault="00D73E86" w:rsidP="00BF4F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4F77" w:rsidRPr="00BF4F77" w:rsidRDefault="00BF4F77" w:rsidP="00BF4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>Глава Курского района Курской области                                    В.М.Рыжиков</w:t>
      </w:r>
    </w:p>
    <w:p w:rsidR="00BF4F77" w:rsidRPr="00BF4F77" w:rsidRDefault="00BF4F77" w:rsidP="00BF4F77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</w:rPr>
        <w:br w:type="page"/>
      </w:r>
      <w:r w:rsidRPr="00BF4F7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BF4F77" w:rsidRPr="00BF4F77" w:rsidRDefault="00BF4F77" w:rsidP="00BF4F7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 xml:space="preserve">решением Представительного Собрания Курского района Курской области </w:t>
      </w:r>
    </w:p>
    <w:p w:rsidR="00BF4F77" w:rsidRPr="00BF4F77" w:rsidRDefault="00BF4F77" w:rsidP="00BF4F77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BF4F77">
        <w:rPr>
          <w:rFonts w:ascii="Times New Roman" w:hAnsi="Times New Roman" w:cs="Times New Roman"/>
          <w:sz w:val="28"/>
          <w:szCs w:val="28"/>
        </w:rPr>
        <w:t xml:space="preserve">от </w:t>
      </w:r>
      <w:r w:rsidR="00720177">
        <w:rPr>
          <w:rFonts w:ascii="Times New Roman" w:hAnsi="Times New Roman" w:cs="Times New Roman"/>
          <w:sz w:val="28"/>
          <w:szCs w:val="28"/>
        </w:rPr>
        <w:t xml:space="preserve">18 октября 2018г. </w:t>
      </w:r>
      <w:r w:rsidRPr="00BF4F77">
        <w:rPr>
          <w:rFonts w:ascii="Times New Roman" w:hAnsi="Times New Roman" w:cs="Times New Roman"/>
          <w:sz w:val="28"/>
          <w:szCs w:val="28"/>
        </w:rPr>
        <w:t>№</w:t>
      </w:r>
      <w:r w:rsidR="00720177">
        <w:rPr>
          <w:rFonts w:ascii="Times New Roman" w:hAnsi="Times New Roman" w:cs="Times New Roman"/>
          <w:sz w:val="28"/>
          <w:szCs w:val="28"/>
        </w:rPr>
        <w:t xml:space="preserve"> 37-3-271</w:t>
      </w:r>
    </w:p>
    <w:p w:rsidR="00BF4F77" w:rsidRPr="00BF4F77" w:rsidRDefault="00BF4F77" w:rsidP="00BF4F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F77" w:rsidRPr="00BF4F77" w:rsidRDefault="00BF4F77" w:rsidP="00BF4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E86" w:rsidRDefault="00BF4F77" w:rsidP="00BF4F7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77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F4F77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муниципальных гарантий по инвестиционным проектам на конкурсной основе за счет средств бюджета </w:t>
      </w:r>
    </w:p>
    <w:p w:rsidR="00BF4F77" w:rsidRDefault="00BF4F77" w:rsidP="00D73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77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D73E86" w:rsidRPr="00BF4F77" w:rsidRDefault="00D73E86" w:rsidP="00D73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B61" w:rsidRDefault="00BF4F77" w:rsidP="00773515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B61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735B61" w:rsidRPr="00735B61" w:rsidRDefault="00735B61" w:rsidP="00773515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1.1. Настоящий Порядок устанавливает правила предоставления муниципальных гарантий по инвестиционным проектам на конкурсной основе за счет средств бюджета Курского района Курской области.</w:t>
      </w: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1.2. Муниципальные гарантии за счет средств бюджета Курского района Курской области (далее - гарантии) являются поручительством муниципального образования и предоставляются инвесторам на конкурсной основе под заемные средства для реализации инвестиционных проектов.</w:t>
      </w:r>
    </w:p>
    <w:p w:rsidR="00BF4F77" w:rsidRPr="00BF4F77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1.3. Основными целями предоставления муниципальных гарантий являются стимулирование инвестиционной активности и привлечение средств инвесторов для развития экономики Курского района Курской области по ключевым направлениям.  </w:t>
      </w:r>
    </w:p>
    <w:p w:rsidR="00370712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1.4. Настоящий Порядок определяет механизм предоставления муниципальных гарантий, этапы, условия организации и проведения конкурсов, права и обязанности их организаторов и участников, основные требования к представляемой документации, процедуру ее рассмотрения, а также оформления результатов конкурсов. Комиссия по инвестиционным конкурсам при Администрации Курского района Курской области (далее именуется - Комиссия по инвестиционным конкурсам) разрабатывает и утверждает регламент работы по проведению конкурсов инвестиционных проектов.</w:t>
      </w:r>
    </w:p>
    <w:p w:rsidR="00370712" w:rsidRDefault="00370712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 Состав комиссии по инвестиционным конкурсам утверждается нормативно-правовым актом Администрации Курского района Курской области в соответствии с настоящим порядком. </w:t>
      </w:r>
    </w:p>
    <w:p w:rsidR="00BF4F77" w:rsidRPr="00BF4F77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7071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. Срок муниципальной гарантии определяется сроком исполнения обязательств, которые обеспечиваются муниципальной гарантией, и не может превышать срока действия муниципальной гарантии, указанного в договоре о предоставлении муниципальной гарантии.</w:t>
      </w:r>
    </w:p>
    <w:p w:rsidR="00BF4F77" w:rsidRPr="00BF4F77" w:rsidRDefault="00BF4F77" w:rsidP="0077351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2. Условия предоставления муниципальных гарантий</w:t>
      </w:r>
    </w:p>
    <w:p w:rsidR="00BF4F77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lastRenderedPageBreak/>
        <w:t>2.1. Гарантии предоставляются на конкурсной основе в пределах общей суммы, предусмотренной на предоставление муниципальных гарантий решением Представительного Собрания Курского района Курской области о бюджете Курского района Курской области на соответствующий год</w:t>
      </w:r>
      <w:r w:rsidR="00370712">
        <w:rPr>
          <w:rFonts w:ascii="Times New Roman" w:eastAsia="Times New Roman" w:hAnsi="Times New Roman" w:cs="Times New Roman"/>
          <w:sz w:val="28"/>
          <w:szCs w:val="28"/>
        </w:rPr>
        <w:t>, при наличии решения Представительного Собрания Курского района Курской области об утверждении инвестиционных проектов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, и оформляются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прилагаемой форме (приложение № 1). </w:t>
      </w: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2.2. Заимствования, по которым исполнение обязательств гарантировано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br/>
        <w:t>муниципальным районом</w:t>
      </w:r>
      <w:r w:rsidR="00546A29">
        <w:rPr>
          <w:rFonts w:ascii="Times New Roman" w:eastAsia="Times New Roman" w:hAnsi="Times New Roman" w:cs="Times New Roman"/>
          <w:sz w:val="28"/>
          <w:szCs w:val="28"/>
        </w:rPr>
        <w:t xml:space="preserve"> «Курский район»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, номинируются в рублях.</w:t>
      </w:r>
    </w:p>
    <w:p w:rsidR="00546A29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2.3. Гарантии выдаются на основании договора о предоставлении муниципальной гарантии </w:t>
      </w:r>
      <w:r w:rsidR="00546A29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 w:rsidR="00546A29">
        <w:rPr>
          <w:rFonts w:ascii="Times New Roman" w:eastAsia="Times New Roman" w:hAnsi="Times New Roman" w:cs="Times New Roman"/>
          <w:sz w:val="28"/>
          <w:szCs w:val="28"/>
        </w:rPr>
        <w:t xml:space="preserve"> и вступают в силу с даты его подписания.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3E86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2.4. Гарантии предоставляются юридическим лицам на возмездной основе, за исключением юридических лиц, учредителем которых выступает </w:t>
      </w:r>
      <w:r w:rsidR="00D73E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546A29">
        <w:rPr>
          <w:rFonts w:ascii="Times New Roman" w:eastAsia="Times New Roman" w:hAnsi="Times New Roman" w:cs="Times New Roman"/>
          <w:sz w:val="28"/>
          <w:szCs w:val="28"/>
        </w:rPr>
        <w:t>Курск</w:t>
      </w:r>
      <w:r w:rsidR="00D73E8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46A2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73E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6A29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. Плата за пользование муниципальной гарантией </w:t>
      </w:r>
      <w:r w:rsidR="00546A29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46A29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 размере 1/4 ставки рефинансирования, установленной Центральным банком</w:t>
      </w:r>
      <w:r w:rsidR="00D73E86">
        <w:rPr>
          <w:rFonts w:ascii="Times New Roman" w:eastAsia="Times New Roman" w:hAnsi="Times New Roman" w:cs="Times New Roman"/>
          <w:sz w:val="28"/>
          <w:szCs w:val="28"/>
        </w:rPr>
        <w:t xml:space="preserve"> России, на дату предоставления гарантии. </w:t>
      </w:r>
    </w:p>
    <w:p w:rsidR="00735B61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2.5. Обязательным условием предоставления гарантии является наличие обеспечения гарантии, предоставленного Администрации </w:t>
      </w:r>
      <w:r w:rsidR="00546A29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46A29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получателем гарантии. Способами обеспечения гарантии могут быть залог или </w:t>
      </w:r>
      <w:r w:rsidR="005F2A2C">
        <w:rPr>
          <w:rFonts w:ascii="Times New Roman" w:eastAsia="Times New Roman" w:hAnsi="Times New Roman" w:cs="Times New Roman"/>
          <w:sz w:val="28"/>
          <w:szCs w:val="28"/>
        </w:rPr>
        <w:t>банковская гарантия</w:t>
      </w:r>
      <w:r w:rsidR="00546A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Оценка предметов залога, предоставленных в обеспечение гарантии, осуществляется в соответствии с законодательством Российской Федерации независимым оценщиком, отобранным на конкурсной основе. Оплата услуг независимого оценщика 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залогодателя. </w:t>
      </w:r>
    </w:p>
    <w:p w:rsidR="00BF4F77" w:rsidRPr="00BF4F77" w:rsidRDefault="00BF4F77" w:rsidP="0077351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3. Порядок предоставления муниципальных гарантий</w:t>
      </w:r>
    </w:p>
    <w:p w:rsidR="00773515" w:rsidRDefault="00BF4F77" w:rsidP="0077351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3.1. Комиссия по инвестиционным конкурсам обеспечивает публикацию в средствах массовой информации сообщения об условиях проведения конкурса.</w:t>
      </w:r>
    </w:p>
    <w:p w:rsidR="00582F38" w:rsidRDefault="00BF4F77" w:rsidP="0077351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3.2. Организация, желающая участвовать в конкурсе на получение муниципальных гарантий (далее именуется - претендент), направляет в адрес Администрации 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заверенные подписью руководителя организации и печатью организации следующие документы в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 двух экземплярах:</w:t>
      </w:r>
    </w:p>
    <w:p w:rsidR="00582F38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- официальное обращение о намерениях участвовать в конкурсе;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br/>
        <w:t xml:space="preserve">- копия лицензии на право осуществления 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 xml:space="preserve">отдельных видов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хозяйственной деятельности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>, подлежащих лицензированию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>соответствии с действующим законодательством;</w:t>
      </w:r>
    </w:p>
    <w:p w:rsidR="00582F38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lastRenderedPageBreak/>
        <w:t>- подтверждение отсутствия просроченной задолженности по ра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>нее предоставленным из бюджета Курского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средствам,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 выданным на возвратной основе;</w:t>
      </w:r>
    </w:p>
    <w:p w:rsidR="00582F38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- утвержденный претендентом бизнес – план (технико-экономическое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обоснование проекта), для реализации которого требуется муниципальная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 поддержка в форме предоставления гарантии;</w:t>
      </w:r>
    </w:p>
    <w:p w:rsidR="00582F38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- копии учредительных документов, свидетельства о государственной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и постановке на налоговый учет;</w:t>
      </w:r>
    </w:p>
    <w:p w:rsidR="00582F38" w:rsidRDefault="00582F38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об открытых счетах в кредитных учреждениях;</w:t>
      </w:r>
    </w:p>
    <w:p w:rsidR="00582F38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- документы, подтверждающие подлинность подписи и полномочия лица на заключение сделок от имени юридического лица (нотариально заверенная карточка с образцами подписей и оттиска печати, приказ (распоряжение) либо иное решение о назначении на должность, доверенность на осуществление 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>соответствующих операций);</w:t>
      </w:r>
    </w:p>
    <w:p w:rsidR="00582F38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- справка налогового органа на последнюю отчетную дату об отсутствии просроченной задолженности по налоговым и иным обязательным платежам в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 бюджетную систему Российской Федерации;</w:t>
      </w:r>
    </w:p>
    <w:p w:rsidR="00582F38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- проект договора либо заключенный договор по основному обязательству, в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которого предоставляется гарантия;</w:t>
      </w:r>
    </w:p>
    <w:p w:rsidR="00582F38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получаемой гарантии, предоставляемое в виде </w:t>
      </w:r>
      <w:r w:rsidR="00613D4B">
        <w:rPr>
          <w:rFonts w:ascii="Times New Roman" w:eastAsia="Times New Roman" w:hAnsi="Times New Roman" w:cs="Times New Roman"/>
          <w:sz w:val="28"/>
          <w:szCs w:val="28"/>
        </w:rPr>
        <w:t>банковской гарантии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или залога имущества, находящегося в собственности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 принципала;</w:t>
      </w:r>
    </w:p>
    <w:p w:rsidR="00582F38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- подлинник и копия выписки коммерческого банка, обслуживающего претендента, о наличии и движении средств по счетам за текущий год;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br/>
        <w:t xml:space="preserve">- бухгалтерская отчетность за предыдущий год и за текущий год (с отметкой 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>налоговой инспекции).</w:t>
      </w:r>
    </w:p>
    <w:p w:rsidR="00582F38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3.3. К рассмотрению принимаются инвестиционные проекты претендентов, имеющих устойчивое финансовое положение и способных вернуть кредит с начисленными на него процентами в срок и в полном объеме. Критерием отбора инвест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>иционных проектов для оказания муниципаль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ной поддержки является величина 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>дополнительных поступлений, которые получит бюджет Курского района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проекта. Принятые к рассмотрению проекты ранжируются в соответствии с показателем бюджетной эффективности. Этот показатель определяется как отношение суммы дисконтированной величины налоговых поступлений и о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бязательных платежей к </w:t>
      </w:r>
      <w:r w:rsidR="009612DE">
        <w:rPr>
          <w:rFonts w:ascii="Times New Roman" w:eastAsia="Times New Roman" w:hAnsi="Times New Roman" w:cs="Times New Roman"/>
          <w:sz w:val="28"/>
          <w:szCs w:val="28"/>
        </w:rPr>
        <w:t>размеру муниципальной гарантии.</w:t>
      </w: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3.4. При предоставлении 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гарантий приоритет имеют инвестиционные проекты претендентов, полностью выполняющих текущие обязательства перед бюджетом и государственными внебюджетными фондами.</w:t>
      </w: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по бюджету и налогам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582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проводит анализ финансового состояния претендента на получение гарантии по методике согласно приложения </w:t>
      </w:r>
      <w:r w:rsidR="003707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BF4F77" w:rsidRPr="00BF4F77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3.6. По результатам рассмотрения предоставленных документов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2855" w:rsidRPr="00BF4F77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по бюджету и налогам</w:t>
      </w:r>
      <w:r w:rsidR="008A2855" w:rsidRPr="00BF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2855" w:rsidRPr="00BF4F7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Курского</w:t>
      </w:r>
      <w:r w:rsidR="008A2855" w:rsidRPr="00BF4F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Курской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lastRenderedPageBreak/>
        <w:t>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 Комиссии по инвестиционным конкурсам заключение о финансовом состоянии претендента на получение гарантии.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F77" w:rsidRPr="00BF4F77" w:rsidRDefault="00BF4F77" w:rsidP="0077351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4. Конкурсный отбор инвестиционных проектов</w:t>
      </w:r>
    </w:p>
    <w:p w:rsidR="008A285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4.1. Конкурсный отбор инвестиционных проектов осуществляется Комиссией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по инвестиционным конкурсам. </w:t>
      </w:r>
    </w:p>
    <w:p w:rsidR="008A285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4.2. Бизнес - планы и другие документы претендентов проверяются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2855" w:rsidRPr="00BF4F77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м по бюджету и налогам</w:t>
      </w:r>
      <w:r w:rsidR="008A2855" w:rsidRPr="00BF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2855" w:rsidRPr="00BF4F7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Курского</w:t>
      </w:r>
      <w:r w:rsidR="008A2855" w:rsidRPr="00BF4F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предъявляемым требованиям и действующему законодательству.</w:t>
      </w:r>
    </w:p>
    <w:p w:rsidR="00773515" w:rsidRDefault="008A2855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допускаются к конкурсу претенденты: </w:t>
      </w:r>
      <w:r w:rsidR="00BF4F77" w:rsidRPr="00BF4F77">
        <w:rPr>
          <w:rFonts w:ascii="Times New Roman" w:eastAsia="Times New Roman" w:hAnsi="Times New Roman" w:cs="Times New Roman"/>
          <w:sz w:val="28"/>
          <w:szCs w:val="28"/>
        </w:rPr>
        <w:t>находящиеся в стадии реорганизации, ликвидации или банкротства либо ограничиваемые в правовом отношении в соответствии с действующим законодательством, а также имеющие структуры, которые находятся в такой стадии либо деятельность которых ограничивается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указанным образом; </w:t>
      </w:r>
      <w:r w:rsidR="00BF4F77" w:rsidRPr="00BF4F77">
        <w:rPr>
          <w:rFonts w:ascii="Times New Roman" w:eastAsia="Times New Roman" w:hAnsi="Times New Roman" w:cs="Times New Roman"/>
          <w:sz w:val="28"/>
          <w:szCs w:val="28"/>
        </w:rPr>
        <w:t>сообщившие о себе ложные сведения;</w:t>
      </w:r>
      <w:r w:rsidR="00BF4F77" w:rsidRPr="00BF4F77">
        <w:rPr>
          <w:rFonts w:ascii="Times New Roman" w:eastAsia="Times New Roman" w:hAnsi="Times New Roman" w:cs="Times New Roman"/>
          <w:sz w:val="28"/>
          <w:szCs w:val="28"/>
        </w:rPr>
        <w:br/>
        <w:t>не представившие необходимые документы, а также представившие их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пропусками или ошибками; </w:t>
      </w:r>
      <w:r w:rsidR="00BF4F77" w:rsidRPr="00BF4F77">
        <w:rPr>
          <w:rFonts w:ascii="Times New Roman" w:eastAsia="Times New Roman" w:hAnsi="Times New Roman" w:cs="Times New Roman"/>
          <w:sz w:val="28"/>
          <w:szCs w:val="28"/>
        </w:rPr>
        <w:t>имеющие просроченную задолженность по ранее предоставленным из бюджета средствам на возвратной основе.</w:t>
      </w:r>
    </w:p>
    <w:p w:rsidR="008A285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4.3. Комиссия по инвестиционным конкурсам рассматривает материалы претендента и принимает решения о предоставлении (отказе в предоставлении) ему муниципальных гарантий. Результаты конкурса определяются с учетом соблюдения 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 xml:space="preserve">претендентом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бюджетного и налогового законодательства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 xml:space="preserve"> по данным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самоуправления, на территории кото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 xml:space="preserve">рых зарегистрирован претендент. </w:t>
      </w:r>
    </w:p>
    <w:p w:rsidR="008A2855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В течение десяти дней после принятия решения Комиссия по инвестиционным конкурсам направляет претендентам письменное уведомление об оказании </w:t>
      </w:r>
      <w:r w:rsidR="0077351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поддержки проекту с указанием ее размера, либо об отказе в ней, либо о необходимости доработки проекта с последующим его повторным направлением на рассмотрение в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2855" w:rsidRPr="00BF4F77">
        <w:rPr>
          <w:rFonts w:ascii="Times New Roman" w:eastAsia="Times New Roman" w:hAnsi="Times New Roman" w:cs="Times New Roman"/>
          <w:sz w:val="28"/>
          <w:szCs w:val="28"/>
        </w:rPr>
        <w:t>правление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по бюджету и налогам Администрации Курского района Курской области. </w:t>
      </w:r>
    </w:p>
    <w:p w:rsidR="00BF4F77" w:rsidRPr="00BF4F77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4.4. Исполнение обязательств по предоставленным муниципальным гарантиям осуществляется за счет средств, предусмотренных в бюджете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год. Объем предоставленных муниципальных гарантий фиксируется при расчете муниципал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ьного долга Курского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. Лимиты использования муниципальных гарантий для реализации инвестиционных проектов устанавливаются Решением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 Курского района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о бюджете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год.</w:t>
      </w:r>
    </w:p>
    <w:p w:rsidR="00BF4F77" w:rsidRPr="00BF4F77" w:rsidRDefault="00BF4F77" w:rsidP="0077351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5. Плата за пользование муниципальной гарантией</w:t>
      </w: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Плата за пользование гарантией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в размере, определенном пунктом 2.4 настоящего Порядка, уплачивается получателем гарантии не позднее дня выдачи (либо в день выдачи) гарантии путем перечисления суммы платежа на счет бюджета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5.2. При исчислении общего размера платы за пользование выдаваемой гарантией в расчет принимается фактическое количество календарных дней в периоде действия гарантии; при этом отсчет срока для начисления платы за выдаваемую гарантию начинается с даты ее выдачи (то есть даты, указанной в реквизитах гарантии) (включительно) и заканчивается датой истечения срока действия гарантии (включительно), указанной в тексте гарантии.</w:t>
      </w: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5.3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Гарантия выдается на срок не более 1 года, внесение платы за пользование выдаваемой гарантией осуществляется по графику, установленному договором о предоставлении муниципальной гарантии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F77" w:rsidRPr="00BF4F77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5.4. В случае досрочного возврата гарантии ее получателем или кредитором Гаранту, а также уменьшения суммы гарантии и/или сроков ее действия плата за пользование гарантией, уплаченная Гаранту в соответствии с пунктом 2.4 настоящего Порядка, возврату не подлежит.</w:t>
      </w:r>
    </w:p>
    <w:p w:rsidR="00BF4F77" w:rsidRPr="00BF4F77" w:rsidRDefault="00BF4F77" w:rsidP="0077351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6. Исполнение обязательств, предусмотренных муниципальными гарантиями</w:t>
      </w:r>
      <w:r w:rsidR="007735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6.1. Под гарантийным случаем понимается невыполнение получателем гарантии своих обязательств перед кредитором, обеспеченных гарантией.</w:t>
      </w: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Если получатель гарантии оказался не в состоянии удовлетворить требование, обеспеченное гарантией, требование может быть предъявлено к Гаранту.</w:t>
      </w:r>
    </w:p>
    <w:p w:rsidR="008A285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6.2. Требование должно быть предъявлено с соблюдением срока, определенного в соответствии с пунктом 1.5 данного Порядка. Датой предъявления требования к муниципальному району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«Курский район»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считается дата его поступления в </w:t>
      </w:r>
      <w:r w:rsidR="006D79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области. </w:t>
      </w:r>
    </w:p>
    <w:p w:rsidR="008A2855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Перечень документов, предоставляемых кредитором при предъявлении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E51">
        <w:rPr>
          <w:rFonts w:ascii="Times New Roman" w:eastAsia="Times New Roman" w:hAnsi="Times New Roman" w:cs="Times New Roman"/>
          <w:sz w:val="28"/>
          <w:szCs w:val="28"/>
        </w:rPr>
        <w:t>требования платежа по гарантии:</w:t>
      </w:r>
      <w:r w:rsidR="008A28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7B2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- письменное требование платежа с обязательным указанием, какие обязательства, обеспеченные гарантией, не исполнены получателем гарантии;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br/>
        <w:t xml:space="preserve">- документы, свидетельствующие о выполнении кредитором своих обязательств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>по договору заимствования.</w:t>
      </w:r>
    </w:p>
    <w:p w:rsidR="00E537B2" w:rsidRDefault="00E537B2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Администрация Курского </w:t>
      </w:r>
      <w:r w:rsidR="00BF4F77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BF4F77" w:rsidRPr="00BF4F7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рассматривает требование кредитора и определяет его обоснованность в течение 30 дней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даты его предъявления. </w:t>
      </w:r>
    </w:p>
    <w:p w:rsidR="00E537B2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этом Администрация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E537B2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вправе выдвигать в отношении указанного требования возражения, которые мог бы представить получатель гарантии, даже в том случае, когда получатель гарантии отказался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их представить или признал свой долг. </w:t>
      </w:r>
    </w:p>
    <w:p w:rsidR="00BF4F77" w:rsidRPr="00BF4F77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6.4. Администрация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E537B2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до удовлетворения требования, предъявленного кредитором, уведомляет получателя гарантии о предъявлении указанного требования.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35B61" w:rsidRDefault="00BF4F77" w:rsidP="0077351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7. Возмещение платежа по гарантии и платы за пользование средствами, направленными на погашение обязательств по гарантии</w:t>
      </w:r>
    </w:p>
    <w:p w:rsidR="00E537B2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7.1. В случае признания требования кредитора обоснованным </w:t>
      </w:r>
      <w:r w:rsidR="006D79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E537B2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в течение 30 дней с даты его предъявления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исполняет обязательство по гарантии.  </w:t>
      </w:r>
    </w:p>
    <w:p w:rsidR="00773515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Исполнение обязательств по муниципальным гарантиям осуществляется за счет средств бюджета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на эти цели Решением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Представительного Собрания Курского </w:t>
      </w:r>
      <w:r w:rsidR="00E537B2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E537B2" w:rsidRPr="00BF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о бюджете на соответствующий финансовый год.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br/>
        <w:t xml:space="preserve">7.2. Если Администрация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E537B2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исполняет обязательство за получателя гарантии, то она имеет право потребовать от последнего возмещения сумм, уплаченных кредитору по муниципальной гарантии, в полном объеме в порядке, предусмотренном гражданским законодательством Российской Федерации. Получатель гарантии не позднее трех рабочих дней с даты получения от Администрации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E537B2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о возмещении платежа возмещает сумму, уплаченную Администрацией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E537B2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кредитору.</w:t>
      </w:r>
      <w:r w:rsidR="00773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37B2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7.3. За вынужденное отвлечение Администрацией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E537B2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="00E537B2" w:rsidRPr="00BF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денежных средств в погашение обязательств получателя гарантии перед кредитором получатель гарантии перечисляет Администрации 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E537B2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плату за пользование денежными средствами в размере ставки рефинансирования, установленной Центральным банком</w:t>
      </w:r>
      <w:r w:rsidR="00E537B2">
        <w:rPr>
          <w:rFonts w:ascii="Times New Roman" w:eastAsia="Times New Roman" w:hAnsi="Times New Roman" w:cs="Times New Roman"/>
          <w:sz w:val="28"/>
          <w:szCs w:val="28"/>
        </w:rPr>
        <w:t xml:space="preserve"> России, на дату исполнения данных обязательств. </w:t>
      </w: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5DE">
        <w:rPr>
          <w:rFonts w:ascii="Times New Roman" w:eastAsia="Times New Roman" w:hAnsi="Times New Roman" w:cs="Times New Roman"/>
          <w:sz w:val="28"/>
          <w:szCs w:val="28"/>
        </w:rPr>
        <w:t>7.4. При невыполнении получателем гарантии в срок обязательств по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возмещению суммы гарантии в соответствии с договором о предоставлении гарантии и перечислению платы за отвлечение денежных средств в соответствии с договором о предоставлении гарантии получатель гарантии оплачивает Администрации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неустойку за каждый день просрочки в размере, установленном договором.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F77" w:rsidRPr="00BF4F77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7.5. В случае невыполнения получателем гарантии обязательств в срок, установленный договором о предоставлении гарантии (вне зависимости от согласия или несогласия получателя гарантии с исполненным Администрацией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требова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нием кредитора), Администрация Курского 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приступает к принудительному взысканию 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lastRenderedPageBreak/>
        <w:t>просроченной задолженности получателя гарантии через арбитражный суд в соответствии с требованиями законодательства.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F77" w:rsidRPr="00BF4F77" w:rsidRDefault="00BF4F77" w:rsidP="0077351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8. Отказ от исполнения обязательств по выданной муниципальной гарантии</w:t>
      </w:r>
    </w:p>
    <w:p w:rsidR="008A15DE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8.1. Администрация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отказывает кредитору в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>платеже по предъявленному требованию при:</w:t>
      </w:r>
    </w:p>
    <w:p w:rsidR="00773515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- несоответствии требования и/или приложенных к нему документов условиям гарантии;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br/>
        <w:t xml:space="preserve">- представлении Администрации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требования и/или приложенных к нему документов по окончании указанного в гарантии срока;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A15DE" w:rsidRDefault="00BF4F77" w:rsidP="00773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- представлении получателем гарантии, после направления ему Администрацией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мотивированных возражений по предъявленному кредитором требованию, документов, подтверждающих выполнение получателем гарантии обязательств, обеспеченных гарантией, на невыполнение которых ссылается кредитор в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своем требовании.  </w:t>
      </w:r>
    </w:p>
    <w:p w:rsidR="00BF4F77" w:rsidRPr="00BF4F77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8.2. В случае подтверждения наступления гарантийного случая или необоснованно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>сти требования кредитора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Курского 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735B61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в течение 30 дней с даты предъявления требования направляет кредитору мотивированное уведомление об отказе от платежа по предъявленному требованию в письменной форме.</w:t>
      </w:r>
    </w:p>
    <w:p w:rsidR="00BF4F77" w:rsidRPr="00BF4F77" w:rsidRDefault="00BF4F77" w:rsidP="0077351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9. Учет выданных гарантий</w:t>
      </w:r>
    </w:p>
    <w:p w:rsidR="008A15DE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9.1. Общая сумма обязательств по выданным гарантиям включается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в состав муниципального долга м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>униципального 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«Курский район» Курской области как вид долгового обязательства. </w:t>
      </w:r>
    </w:p>
    <w:p w:rsidR="008A15DE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9.2.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>Управление по бюджету и налогам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9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ведет учет выданных гарантий. </w:t>
      </w:r>
    </w:p>
    <w:p w:rsidR="00773515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>9.3. В случае получения от бенефициара до окончания срока действия гарантии письменного уведомления об освобождении гаранта от обязательств по гарантии и/или возврата бенефициаром (или принципалом) гаранту оригинала выданной гарантии муниципальный долг муниципального 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«Курский район»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сокращается на сумму действующей гарантии, в реестре выданных гарантий делается отметка о снятии гарантии с учета.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15DE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9.4. Контроль за целевым использованием заимствований, обеспеченных муниципальными гарантиями, осуществляет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>Управление по бюджету и налогам</w:t>
      </w:r>
      <w:r w:rsidR="006D79F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путем анализа ежеквартальных отчетов, представляемых принципалом не позднее 20 числа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месяца, следующего за отчетным кварталом. </w:t>
      </w:r>
    </w:p>
    <w:p w:rsidR="00BF4F77" w:rsidRPr="00BF4F77" w:rsidRDefault="00BF4F77" w:rsidP="0077351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F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9.5.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>Управление по бюджету и налогам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9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запрашивать у принципала документы, отражающие его финансовое состояние, а также проводить проверки целевого использования средств, привлекаемых под муниципальные гарантии.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br/>
        <w:t xml:space="preserve">9.6. В случае установления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>Управлением по бюджету и налогам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9F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Курского </w:t>
      </w:r>
      <w:r w:rsidR="008A15DE" w:rsidRPr="00BF4F7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8A15DE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</w:t>
      </w:r>
      <w:r w:rsidRPr="00BF4F77">
        <w:rPr>
          <w:rFonts w:ascii="Times New Roman" w:eastAsia="Times New Roman" w:hAnsi="Times New Roman" w:cs="Times New Roman"/>
          <w:sz w:val="28"/>
          <w:szCs w:val="28"/>
        </w:rPr>
        <w:t xml:space="preserve"> факта нецелевого использования средств, привлеченных принципалом под муниципальные гарантии, предоставление муниципальных гарантий приостанавливается, выданная гарантия подлежит отзыву.</w:t>
      </w:r>
    </w:p>
    <w:p w:rsidR="00773515" w:rsidRDefault="00773515">
      <w:pPr>
        <w:rPr>
          <w:rFonts w:ascii="Times New Roman" w:hAnsi="Times New Roman" w:cs="Times New Roman"/>
        </w:rPr>
      </w:pPr>
      <w:bookmarkStart w:id="0" w:name="applications"/>
      <w:bookmarkEnd w:id="0"/>
      <w:r>
        <w:rPr>
          <w:rFonts w:ascii="Times New Roman" w:hAnsi="Times New Roman" w:cs="Times New Roman"/>
        </w:rPr>
        <w:br w:type="page"/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к Порядку предоставления муниципальных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гарантий по инвестиционным проектам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на конкурсной основе за счет средств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15DE">
        <w:rPr>
          <w:rFonts w:ascii="Times New Roman" w:hAnsi="Times New Roman" w:cs="Times New Roman"/>
          <w:sz w:val="24"/>
          <w:szCs w:val="24"/>
        </w:rPr>
        <w:t>Курского</w:t>
      </w:r>
      <w:r w:rsidRPr="00BF4F7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A15D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756BD" w:rsidRDefault="00BF4F77" w:rsidP="00BF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F77">
        <w:rPr>
          <w:rFonts w:ascii="Times New Roman" w:hAnsi="Times New Roman" w:cs="Times New Roman"/>
          <w:b/>
          <w:sz w:val="24"/>
          <w:szCs w:val="24"/>
        </w:rPr>
        <w:t xml:space="preserve">Муниципальная гарантия </w:t>
      </w:r>
    </w:p>
    <w:p w:rsidR="00BF4F77" w:rsidRPr="00BF4F77" w:rsidRDefault="008A15DE" w:rsidP="00BF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</w:t>
      </w:r>
      <w:r w:rsidR="00D756BD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756B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="00BF4F77" w:rsidRPr="00BF4F77">
        <w:rPr>
          <w:rFonts w:ascii="Times New Roman" w:hAnsi="Times New Roman" w:cs="Times New Roman"/>
          <w:b/>
          <w:sz w:val="24"/>
          <w:szCs w:val="24"/>
        </w:rPr>
        <w:t xml:space="preserve"> № 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г. ___________                      </w:t>
      </w:r>
      <w:r w:rsidR="008A15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F4F77">
        <w:rPr>
          <w:rFonts w:ascii="Times New Roman" w:hAnsi="Times New Roman" w:cs="Times New Roman"/>
          <w:sz w:val="24"/>
          <w:szCs w:val="24"/>
        </w:rPr>
        <w:t xml:space="preserve">      «_____» ___________ г.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A15DE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 xml:space="preserve">, в дальнейшем именуемая ГАРАНТ, в лице Главы </w:t>
      </w:r>
      <w:r w:rsidR="008A15DE">
        <w:rPr>
          <w:rFonts w:ascii="Times New Roman" w:hAnsi="Times New Roman" w:cs="Times New Roman"/>
          <w:sz w:val="24"/>
          <w:szCs w:val="24"/>
        </w:rPr>
        <w:t>Курского</w:t>
      </w:r>
      <w:r w:rsidRPr="00BF4F77">
        <w:rPr>
          <w:rFonts w:ascii="Times New Roman" w:hAnsi="Times New Roman" w:cs="Times New Roman"/>
          <w:sz w:val="24"/>
          <w:szCs w:val="24"/>
        </w:rPr>
        <w:t xml:space="preserve"> района ___________________________, действующего(ей) на </w:t>
      </w:r>
      <w:r w:rsidRPr="008A15DE">
        <w:rPr>
          <w:rFonts w:ascii="Times New Roman" w:hAnsi="Times New Roman" w:cs="Times New Roman"/>
          <w:sz w:val="24"/>
          <w:szCs w:val="24"/>
        </w:rPr>
        <w:t xml:space="preserve">основании </w:t>
      </w:r>
      <w:hyperlink r:id="rId8" w:history="1">
        <w:r w:rsidRPr="008A15DE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8A15DE">
        <w:rPr>
          <w:rFonts w:ascii="Times New Roman" w:hAnsi="Times New Roman" w:cs="Times New Roman"/>
          <w:sz w:val="24"/>
          <w:szCs w:val="24"/>
        </w:rPr>
        <w:t>,</w:t>
      </w:r>
      <w:r w:rsidRPr="00BF4F77">
        <w:rPr>
          <w:rFonts w:ascii="Times New Roman" w:hAnsi="Times New Roman" w:cs="Times New Roman"/>
          <w:sz w:val="24"/>
          <w:szCs w:val="24"/>
        </w:rPr>
        <w:t xml:space="preserve"> предоставляет настоящую гарантию _______________________________, в дальнейшем именуемому ПОЛУЧАТЕЛЬ ГАРАНТИИ, о нижеследующем: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1. Настоящая гарантия является способом обеспечения гражданско-правовых обязательств, в силу которого ГАРАНТ принимает на себя обязательство </w:t>
      </w:r>
      <w:proofErr w:type="spellStart"/>
      <w:r w:rsidRPr="00BF4F77">
        <w:rPr>
          <w:rFonts w:ascii="Times New Roman" w:hAnsi="Times New Roman" w:cs="Times New Roman"/>
          <w:sz w:val="24"/>
          <w:szCs w:val="24"/>
        </w:rPr>
        <w:t>субсидиарно</w:t>
      </w:r>
      <w:proofErr w:type="spellEnd"/>
      <w:r w:rsidRPr="00BF4F77">
        <w:rPr>
          <w:rFonts w:ascii="Times New Roman" w:hAnsi="Times New Roman" w:cs="Times New Roman"/>
          <w:sz w:val="24"/>
          <w:szCs w:val="24"/>
        </w:rPr>
        <w:t xml:space="preserve"> отвечать за исполнение ПОЛУЧАТЕЛЕМ ГАРАНТИИ обязательств перед КРЕДИТОРОМ __________ по договору от ______ N ____ в сумме, не превышающей _________ (цифрами и прописью).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2. Ответственность ГАРАНТА перед КРЕДИТОРОМ за невыполнение или ненадлежащее выполнение своих обязательств по настоящей гарантии ограничивается суммой, на которую она выдана.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3. Требование платежа по настоящей гарантии не может быть предъявлено ранее установленного договором о предоставлении муниципальной гарантии срока выполнения обязательств по договору.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 Настоящая гарантия вступает в силу с даты ее выдачи и действует до «__» ______ 20___ г., после этой даты обязательства ГАРАНТА прекращаются, а ГАРАНТ освобождается от всех своих обязательств по данной гарантии, если требования КРЕДИТОРА не были предъявлены до этой даты или на эту дату.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5. Настоящая гарантия может быть отозвана ГАРАНТОМ, а ГАРАНТ освобождается от всех своих обязательств, если: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- договор объявлен недействительным (по решению суда);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- договор расторгнут по инициативе КРЕДИТОРА или обеих сторон;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- установлено нецелевое использование средств, полученных ПОЛУЧАТЕЛЕМ ГАРАНТИИ по договору заимствований.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6. Настоящая гарантия регулируется законодательством Российской Федерации. Все споры между ГАРАНТОМ, ПОЛУЧАТЕЛЕМ ГАРАНТИИ и КРЕДИТОРОМ, вытекающие из настоящей гарантии или связанные с ней, подлежат рассмотрению в арбитражном суде </w:t>
      </w:r>
      <w:r w:rsidR="008A15DE">
        <w:rPr>
          <w:rFonts w:ascii="Times New Roman" w:hAnsi="Times New Roman" w:cs="Times New Roman"/>
          <w:sz w:val="24"/>
          <w:szCs w:val="24"/>
        </w:rPr>
        <w:t>Кур</w:t>
      </w:r>
      <w:r w:rsidRPr="00BF4F77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7. ГАРАНТ, исполнивший обязательства ПОЛУЧАТЕЛЯ ГАРАНТИИ перед КРЕДИТОРОМ, имеет право потребовать от ПОЛУЧАТЕЛЯ ГАРАНТИИ возмещения сумм, уплаченных КРЕДИТОРУ по настоящей гарантии, в полном объеме и в порядке, предусмотренном гражданским законодательством Российской Федерации.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8. По окончании срока действия гарантии ПОЛУЧАТЕЛЬ ГАРАНТИИ должен вернуть ГАРАНТУ оригинал настоящей гарантии без дальнейших уведомлений со стороны ГАРАНТА.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    От ГАРАНТА:                             От ПОЛУЧАТЕЛЯ ГАРАНТИИ: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15" w:rsidRDefault="00BF4F77" w:rsidP="007735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        М.П.                                          М.П.                                                                                             </w:t>
      </w:r>
      <w:r w:rsidR="00773515">
        <w:rPr>
          <w:rFonts w:ascii="Times New Roman" w:hAnsi="Times New Roman" w:cs="Times New Roman"/>
          <w:sz w:val="24"/>
          <w:szCs w:val="24"/>
        </w:rPr>
        <w:br w:type="page"/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к Порядку предоставления муниципальных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гарантий по инвестиционным проектам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на конкурсной основе за счет средств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756BD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ДОГОВОР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о предоставлении муниципальной гарантии</w:t>
      </w:r>
      <w:r w:rsidR="00D7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77" w:rsidRPr="00BF4F77" w:rsidRDefault="00D756BD" w:rsidP="00BF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="00BF4F77" w:rsidRPr="00BF4F77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г. _____________</w:t>
      </w:r>
      <w:r w:rsidR="00D756BD">
        <w:rPr>
          <w:rFonts w:ascii="Times New Roman" w:hAnsi="Times New Roman" w:cs="Times New Roman"/>
          <w:sz w:val="24"/>
          <w:szCs w:val="24"/>
        </w:rPr>
        <w:t xml:space="preserve"> </w:t>
      </w:r>
      <w:r w:rsidR="00D756BD">
        <w:rPr>
          <w:rFonts w:ascii="Times New Roman" w:hAnsi="Times New Roman" w:cs="Times New Roman"/>
          <w:sz w:val="24"/>
          <w:szCs w:val="24"/>
        </w:rPr>
        <w:tab/>
      </w:r>
      <w:r w:rsidR="00D756BD">
        <w:rPr>
          <w:rFonts w:ascii="Times New Roman" w:hAnsi="Times New Roman" w:cs="Times New Roman"/>
          <w:sz w:val="24"/>
          <w:szCs w:val="24"/>
        </w:rPr>
        <w:tab/>
      </w:r>
      <w:r w:rsidR="00D756BD">
        <w:rPr>
          <w:rFonts w:ascii="Times New Roman" w:hAnsi="Times New Roman" w:cs="Times New Roman"/>
          <w:sz w:val="24"/>
          <w:szCs w:val="24"/>
        </w:rPr>
        <w:tab/>
      </w:r>
      <w:r w:rsidR="00D756BD">
        <w:rPr>
          <w:rFonts w:ascii="Times New Roman" w:hAnsi="Times New Roman" w:cs="Times New Roman"/>
          <w:sz w:val="24"/>
          <w:szCs w:val="24"/>
        </w:rPr>
        <w:tab/>
      </w:r>
      <w:r w:rsidR="00D756BD">
        <w:rPr>
          <w:rFonts w:ascii="Times New Roman" w:hAnsi="Times New Roman" w:cs="Times New Roman"/>
          <w:sz w:val="24"/>
          <w:szCs w:val="24"/>
        </w:rPr>
        <w:tab/>
      </w:r>
      <w:r w:rsidR="00D756BD">
        <w:rPr>
          <w:rFonts w:ascii="Times New Roman" w:hAnsi="Times New Roman" w:cs="Times New Roman"/>
          <w:sz w:val="24"/>
          <w:szCs w:val="24"/>
        </w:rPr>
        <w:tab/>
      </w:r>
      <w:r w:rsidR="00D756BD">
        <w:rPr>
          <w:rFonts w:ascii="Times New Roman" w:hAnsi="Times New Roman" w:cs="Times New Roman"/>
          <w:sz w:val="24"/>
          <w:szCs w:val="24"/>
        </w:rPr>
        <w:tab/>
      </w:r>
      <w:r w:rsidR="00D756BD">
        <w:rPr>
          <w:rFonts w:ascii="Times New Roman" w:hAnsi="Times New Roman" w:cs="Times New Roman"/>
          <w:sz w:val="24"/>
          <w:szCs w:val="24"/>
        </w:rPr>
        <w:tab/>
      </w:r>
      <w:r w:rsidRPr="00BF4F77">
        <w:rPr>
          <w:rFonts w:ascii="Times New Roman" w:hAnsi="Times New Roman" w:cs="Times New Roman"/>
          <w:sz w:val="24"/>
          <w:szCs w:val="24"/>
        </w:rPr>
        <w:t>«_____» ___________ г.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756BD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 xml:space="preserve">, в дальнейшем именуемая ГАРАНТ, в лице Главы </w:t>
      </w:r>
      <w:r w:rsidR="00D756BD">
        <w:rPr>
          <w:rFonts w:ascii="Times New Roman" w:hAnsi="Times New Roman" w:cs="Times New Roman"/>
          <w:sz w:val="24"/>
          <w:szCs w:val="24"/>
        </w:rPr>
        <w:t>Курского</w:t>
      </w:r>
      <w:r w:rsidRPr="00BF4F77">
        <w:rPr>
          <w:rFonts w:ascii="Times New Roman" w:hAnsi="Times New Roman" w:cs="Times New Roman"/>
          <w:sz w:val="24"/>
          <w:szCs w:val="24"/>
        </w:rPr>
        <w:t xml:space="preserve"> района ___________________________, действующего(ей) на основании Устава, с одной стороны, и ___________________, именуемое(</w:t>
      </w:r>
      <w:proofErr w:type="spellStart"/>
      <w:r w:rsidRPr="00BF4F7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F4F77">
        <w:rPr>
          <w:rFonts w:ascii="Times New Roman" w:hAnsi="Times New Roman" w:cs="Times New Roman"/>
          <w:sz w:val="24"/>
          <w:szCs w:val="24"/>
        </w:rPr>
        <w:t>) в дальнейшем ПОЛУЧАТЕЛЬ ГАРАНТИИ, в лице ____________________, действующего(ей) на основании Устава, с другой стороны, заключили настоящий Договор о нижеследующем:</w:t>
      </w:r>
      <w:r w:rsidR="00D7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1. Предмет Договора</w:t>
      </w:r>
      <w:r w:rsidR="00D7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5"/>
      <w:bookmarkEnd w:id="1"/>
      <w:r w:rsidRPr="00BF4F77">
        <w:rPr>
          <w:rFonts w:ascii="Times New Roman" w:hAnsi="Times New Roman" w:cs="Times New Roman"/>
          <w:sz w:val="24"/>
          <w:szCs w:val="24"/>
        </w:rPr>
        <w:t xml:space="preserve">1.1. По настоящему Договору ГАРАНТ принимает на себя обязательство предоставить муниципальную гарантию </w:t>
      </w:r>
      <w:r w:rsidR="00D756BD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 xml:space="preserve"> (далее - Гарантия) в сумме _______ (цифрами и прописью) _________________ в обеспечение исполнения ПОЛУЧАТЕЛЕМ ГАРАНТИИ обязательств по (договору заимствования) ________________ от «___» ______________ г. № _____, заключенному между ПОЛУЧАТЕЛЕМ ГАРАНТИИ и Кредитором ______________ (наименование Кредитора, соответствующее Уставу). Срок действия Гарантии (указывается дата или условие вступления в силу Гарантии, предусмотренные текстом Гарантии) - с _______________ по "____" ___________ г.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2. Условия предоставления Гарантии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2.1. ГАРАНТ не позднее «___» _______________ передает ПОЛУЧАТЕЛЮ ГАРАНТИИ для дальнейшей передачи Кредитору Гарантию на указанную в пункте 1.1 настоящего Договора сумму.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0"/>
      <w:bookmarkEnd w:id="2"/>
      <w:r w:rsidRPr="00BF4F77">
        <w:rPr>
          <w:rFonts w:ascii="Times New Roman" w:hAnsi="Times New Roman" w:cs="Times New Roman"/>
          <w:sz w:val="24"/>
          <w:szCs w:val="24"/>
        </w:rPr>
        <w:t>2.2. Гарантия, указанная в пункте 1.1 настоящего Договора, передается ПОЛУЧАТЕЛЮ ГАРАНТИИ после надлежащего оформления указанного в пункте 5.1 настоящего Договора обеспечения по Гарантии, а также после уплаты ПОЛУЧАТЕЛЕМ ГАРАНТИИ ГАРАНТУ не позднее «____» _________ г. платы за пользование Гарантией в размере (цифрами и прописью) __________ процента(</w:t>
      </w:r>
      <w:proofErr w:type="spellStart"/>
      <w:r w:rsidRPr="00BF4F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4F77">
        <w:rPr>
          <w:rFonts w:ascii="Times New Roman" w:hAnsi="Times New Roman" w:cs="Times New Roman"/>
          <w:sz w:val="24"/>
          <w:szCs w:val="24"/>
        </w:rPr>
        <w:t>) годовых от суммы Гарантии за период начиная с даты выдачи Гарантии (включительно) и заканчивая датой истечения срока действия Гарантии (включительно), что составляет (цифрами и прописью)</w:t>
      </w:r>
      <w:r w:rsidR="00D756B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BF4F77">
        <w:rPr>
          <w:rFonts w:ascii="Times New Roman" w:hAnsi="Times New Roman" w:cs="Times New Roman"/>
          <w:sz w:val="24"/>
          <w:szCs w:val="24"/>
        </w:rPr>
        <w:t>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2.2.1. В последующем ПОЛУЧАТЕЛЬ ГАРАНТИИ ежегодно уплачивает ГАРАНТУ плату за пользование Гарантией в соответствии с графиком: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20"/>
        <w:gridCol w:w="2400"/>
      </w:tblGrid>
      <w:tr w:rsidR="00BF4F77" w:rsidRPr="00BF4F77" w:rsidTr="00C93500">
        <w:trPr>
          <w:trHeight w:val="240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F77" w:rsidRPr="00BF4F77" w:rsidRDefault="00BF4F77" w:rsidP="00BF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 платежа 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F77" w:rsidRPr="00BF4F77" w:rsidRDefault="00BF4F77" w:rsidP="00BF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 xml:space="preserve">  Сумма платежа   </w:t>
            </w:r>
          </w:p>
        </w:tc>
      </w:tr>
      <w:tr w:rsidR="00BF4F77" w:rsidRPr="00BF4F77" w:rsidTr="00C93500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F77" w:rsidRPr="00BF4F77" w:rsidRDefault="00BF4F77" w:rsidP="00BF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Не позднее «____» _____________ г.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F77" w:rsidRPr="00BF4F77" w:rsidRDefault="00BF4F77" w:rsidP="00BF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77" w:rsidRPr="00BF4F77" w:rsidTr="00C93500">
        <w:trPr>
          <w:trHeight w:val="240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F77" w:rsidRPr="00BF4F77" w:rsidRDefault="00BF4F77" w:rsidP="00BF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Не позднее «____» _____________ г.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4F77" w:rsidRPr="00BF4F77" w:rsidRDefault="00BF4F77" w:rsidP="00BF4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(вписывается в случае предоставления гарантий </w:t>
      </w:r>
      <w:r w:rsidR="00D756BD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 xml:space="preserve"> на срок более 1 года).</w:t>
      </w:r>
      <w:r w:rsidR="00D756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2"/>
      <w:bookmarkEnd w:id="3"/>
      <w:r w:rsidRPr="00BF4F77">
        <w:rPr>
          <w:rFonts w:ascii="Times New Roman" w:hAnsi="Times New Roman" w:cs="Times New Roman"/>
          <w:sz w:val="24"/>
          <w:szCs w:val="24"/>
        </w:rPr>
        <w:lastRenderedPageBreak/>
        <w:t>2.3. При наступлении гарантийного случая и осуществлении ГАРАНТОМ платежа Кредитору в соответствии с пунктом 1.1 настоящего Договора ПОЛУЧАТЕЛЬ ГАРАНТИИ не позднее трех рабочих дней с даты получения от ГАРАНТА письменного требования о возмещении платежа возмещает ГАРАНТУ сумму произведенного платежа в полном объеме.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Дата наступления исполнения обязательств ПОЛУЧАТЕЛЯ ГАРАНТИИ по возмещению суммы платежа по Гарантии определяется датой вручения, с учетом периода, указанного в настоящем пункте.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4"/>
      <w:bookmarkEnd w:id="4"/>
      <w:r w:rsidRPr="00BF4F77">
        <w:rPr>
          <w:rFonts w:ascii="Times New Roman" w:hAnsi="Times New Roman" w:cs="Times New Roman"/>
          <w:sz w:val="24"/>
          <w:szCs w:val="24"/>
        </w:rPr>
        <w:t>2.4. За вынужденное отвлечение ГАРАНТОМ денежных средств в погашение обязательств ПОЛУЧАТЕЛЯ ГАРАНТИИ перед Кредитором ПОЛУЧАТЕЛЬ ГАРАНТИИ перечисляет ГАРАНТУ плату из расчета (цифрами и прописью) процента(</w:t>
      </w:r>
      <w:proofErr w:type="spellStart"/>
      <w:r w:rsidRPr="00BF4F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F4F77">
        <w:rPr>
          <w:rFonts w:ascii="Times New Roman" w:hAnsi="Times New Roman" w:cs="Times New Roman"/>
          <w:sz w:val="24"/>
          <w:szCs w:val="24"/>
        </w:rPr>
        <w:t>) годовых с суммы произведенного платежа по Гарантии.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2.5. Плата, указанная в пункте 2.4 настоящего Договора, перечисляется ПОЛУЧАТЕЛЕМ ГАРАНТИИ одновременно с возмещением платежа по Гарантии, указанного в пункте 2.3 настоящего Договора.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2.6. При несвоевременном возмещении ГАРАНТУ платежа по Гарантии или перечислении платы за отвлечение ГАРАНТОМ денежных средств ПОЛУЧАТЕЛЬ ГАРАНТИИ уплачивает ГАРАНТУ неустойку с даты, следующей за датой исполнения обязательства, установленной настоящим Договором, в размере (цифрами и прописью) с суммы просроченного ПОЛУЧАТЕЛЕМ ГАРАНТИИ платежа за каждый день просрочки, включая дату погашения просроченной задолженности, начисляемую за весь период просрочки.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3. Условия расчетов и платежей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3.1. Возмещение платежа по Гарантии, перечисление платы за отвлечение ГАРАНТОМ денежных средств и других платежей по настоящему Договору производится платежным поручением ПОЛУЧАТЕЛЯ ГАРАНТИИ с его расчетного счета № _______, а также других расчетных счето</w:t>
      </w:r>
      <w:r w:rsidR="00D756BD">
        <w:rPr>
          <w:rFonts w:ascii="Times New Roman" w:hAnsi="Times New Roman" w:cs="Times New Roman"/>
          <w:sz w:val="24"/>
          <w:szCs w:val="24"/>
        </w:rPr>
        <w:t xml:space="preserve">в ПОЛУЧАТЕЛЯ ГАРАНТИИ на счет </w:t>
      </w:r>
      <w:r w:rsidRPr="00BF4F77">
        <w:rPr>
          <w:rFonts w:ascii="Times New Roman" w:hAnsi="Times New Roman" w:cs="Times New Roman"/>
          <w:sz w:val="24"/>
          <w:szCs w:val="24"/>
        </w:rPr>
        <w:t>бюджета</w:t>
      </w:r>
      <w:r w:rsidR="00D756BD">
        <w:rPr>
          <w:rFonts w:ascii="Times New Roman" w:hAnsi="Times New Roman" w:cs="Times New Roman"/>
          <w:sz w:val="24"/>
          <w:szCs w:val="24"/>
        </w:rPr>
        <w:t xml:space="preserve"> 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>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3.2. Отсчет срока для начисления платы за отвлечение ГАРАНТОМ денежных средств начинается с даты платежа по Гарантии (не включая эту дату) и заканчивается датой возмещения ПОЛУЧАТЕЛЕМ ГАРАНТИИ ГАРАНТУ суммы платежа (включительно), а в случае несвоевременного возмещения (просрочки) - датой возмещения платежа по Гарантии, устанавливаемой в соответствии со сроком, указанным в пункте 2.3 настоящего Договора.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 Обязанности и права ГАРАНТА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4.1. Не позднее следующего рабочего дня после осуществления ГАРАНТОМ платежа по требованию Кредитора ГАРАНТ обязан в письменной форме известить ПОЛУЧАТЕЛЯ ГАРАНТИИ об исполнении ГАРАНТОМ обязательств по Гарантии, указанной в пункте 1.1 настоящего Договора, направив ПОЛУЧАТЕЛЮ ГАРАНТИИ письменное требование о возмещении платежа, в котором ГАРАНТ одновременно уведомляет ПОЛУЧАТЕЛЯ ГАРАНТИИ о величине ежедневно начисляемой платы за отвлечение ГАРАНТОМ денежных средств.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4.2. ГАРАНТ имеет право требовать от ПОЛУЧАТЕЛЯ ГАРАНТИИ сведения и документы, подтверждающие выполнение ПОЛУЧАТЕЛЕМ ГАРАНТИИ обязательств по договору с Кредитором, обеспеченных Гарантией, указанной в пункте 1.1 Договора.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4.3. ГАРАНТ имеет право в удобной для него форме осуществлять проверки достоверности предоставляемых ПОЛУЧАТЕЛЕМ ГАРАНТИИ отчетных и плановых показателей его хозяйственно-финансовой деятельности.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4.4. ГАРАНТ имеет право отозвать Гарантию и освобождается от всех своих обязательств, если: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lastRenderedPageBreak/>
        <w:t>- Договор объявлен недействительным (по решению суда);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- Договор расторгнут по инициативе Кредитора или обеих сторон;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- установлено нецелевое использование средств, полученных ПОЛУЧАТЕЛЕМ ГАРАНТИИ по договору заимствований.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5. Обязанности и права ПОЛУЧАТЕЛЯ ГАРАНТИИ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5"/>
      <w:bookmarkEnd w:id="5"/>
      <w:r w:rsidRPr="00BF4F77">
        <w:rPr>
          <w:rFonts w:ascii="Times New Roman" w:hAnsi="Times New Roman" w:cs="Times New Roman"/>
          <w:sz w:val="24"/>
          <w:szCs w:val="24"/>
        </w:rPr>
        <w:t>5.1. В качестве обеспечения исполнения обязательств по настоящему Договору ПОЛУЧАТЕЛЬ ГАРАНТИИ предоставляет ГАРАНТУ: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1) (имущество в залог/указать какое)</w:t>
      </w:r>
      <w:r w:rsidR="00873A7F">
        <w:rPr>
          <w:rFonts w:ascii="Times New Roman" w:hAnsi="Times New Roman" w:cs="Times New Roman"/>
          <w:sz w:val="24"/>
          <w:szCs w:val="24"/>
        </w:rPr>
        <w:t xml:space="preserve"> </w:t>
      </w:r>
      <w:r w:rsidRPr="00BF4F77">
        <w:rPr>
          <w:rFonts w:ascii="Times New Roman" w:hAnsi="Times New Roman" w:cs="Times New Roman"/>
          <w:sz w:val="24"/>
          <w:szCs w:val="24"/>
        </w:rPr>
        <w:t>или</w:t>
      </w:r>
      <w:r w:rsidR="00873A7F">
        <w:rPr>
          <w:rFonts w:ascii="Times New Roman" w:hAnsi="Times New Roman" w:cs="Times New Roman"/>
          <w:sz w:val="24"/>
          <w:szCs w:val="24"/>
        </w:rPr>
        <w:t xml:space="preserve"> </w:t>
      </w:r>
      <w:r w:rsidRPr="00BF4F77">
        <w:rPr>
          <w:rFonts w:ascii="Times New Roman" w:hAnsi="Times New Roman" w:cs="Times New Roman"/>
          <w:sz w:val="24"/>
          <w:szCs w:val="24"/>
        </w:rPr>
        <w:t>(</w:t>
      </w:r>
      <w:r w:rsidR="00613D4B">
        <w:rPr>
          <w:rFonts w:ascii="Times New Roman" w:hAnsi="Times New Roman" w:cs="Times New Roman"/>
          <w:sz w:val="24"/>
          <w:szCs w:val="24"/>
        </w:rPr>
        <w:t>банковская гарантия</w:t>
      </w:r>
      <w:r w:rsidRPr="00BF4F77">
        <w:rPr>
          <w:rFonts w:ascii="Times New Roman" w:hAnsi="Times New Roman" w:cs="Times New Roman"/>
          <w:sz w:val="24"/>
          <w:szCs w:val="24"/>
        </w:rPr>
        <w:t>).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5.2. ПОЛУЧАТЕЛЬ ГАРАНТИИ обязан использовать средства, полученные от Кредитора под Гарантию, исключительно на цели, указанные в договоре заимствования, указанном в пункте 1.1 настоящего Договора, а также по требованию ГАРАНТА в течение 3 рабочих дней предоставлять документы для контроля за выполнением ПОЛУЧАТЕЛЕМ ГАРАНТИИ обязательств, обеспеченных Гарантией, указанной в пункте 1.1 настоящего Договора.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5.3. ПОЛУЧАТЕЛЬ ГАРАНТИИ обязан ежеквартально предоставлять ГАРАНТУ бухгалтерский отчет в полном объеме по установленным формам не позднее сроков, установленных для представления бухгалтерской отчетности, расшифровки кредиторской и дебиторской задолженности, а также другие отчетно-финансовые документы по требованию ГАРАНТА в течение 5 рабочих дней с даты получения указанного требования.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5.4. ПОЛУЧАТЕЛЬ ГАРАНТИИ обязан незамедлительно уведомить ГАРАНТА о признании недействительным договора заимствования или расторжении его с Кредитором.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5.5. ПОЛУЧАТЕЛЬ ГАРАНТИИ обязан не позднее чем за 10 рабочих дней уведомить ГАРАНТА о его предстоящей реорганизации, ликвидации или уменьшении уставного капитала.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5.6. ПОЛУЧАТЕЛЬ ГАРАНТИИ обязан не позднее двух рабочих дней с даты получения письменного уведомления ГАРАНТА о получении от Кредитора требования платежа по выданной Гарантии сообщить ГАРАНТУ в письменной форме о своем согласии или мотивированных возражениях по сути предъявленного Кредитором требования.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5.7. В случае осуществления ГАРАНТОМ платежа Кредитору ПОЛУЧАТЕЛЬ ГАРАНТИИ в срок, указанный в пункте 2.3 настоящего Договора, обязан возместить ГАРАНТУ сумму произведенного платежа в полном объеме.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6.1. В случае досрочного возврата ПОЛУЧАТЕЛЕМ ГАРАНТИИ или Кредитором Гарантии ГАРАНТУ, а также уменьшения суммы Гарантии и/или сроков ее действия вознаграждение, уплаченное ПОЛУЧАТЕЛЕМ ГАРАНТИИ ГАРАНТУ в соответствии с пунктом 2.2 настоящего Договора, возврату не подлежит.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6.2. Все споры, вытекающие из настоящего Договора, подлежат р</w:t>
      </w:r>
      <w:r w:rsidR="00873A7F">
        <w:rPr>
          <w:rFonts w:ascii="Times New Roman" w:hAnsi="Times New Roman" w:cs="Times New Roman"/>
          <w:sz w:val="24"/>
          <w:szCs w:val="24"/>
        </w:rPr>
        <w:t>ассмотрению в арбитражном суде Курс</w:t>
      </w:r>
      <w:r w:rsidRPr="00BF4F77">
        <w:rPr>
          <w:rFonts w:ascii="Times New Roman" w:hAnsi="Times New Roman" w:cs="Times New Roman"/>
          <w:sz w:val="24"/>
          <w:szCs w:val="24"/>
        </w:rPr>
        <w:t>кой области.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6.3. Изменения и дополнения к настоящему Договору действительны, если они совершены в письменной форме и подписаны уполномоченными на то лицами.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6.4.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документах. В случае изменения у одной из сторон банковских реквизитов она обязана информировать об этом другую сторону до вступления изменений в силу.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6.5. Настоящий Договор составлен в двух экземпляра</w:t>
      </w:r>
      <w:r w:rsidR="00873A7F">
        <w:rPr>
          <w:rFonts w:ascii="Times New Roman" w:hAnsi="Times New Roman" w:cs="Times New Roman"/>
          <w:sz w:val="24"/>
          <w:szCs w:val="24"/>
        </w:rPr>
        <w:t>х</w:t>
      </w:r>
      <w:r w:rsidRPr="00BF4F77">
        <w:rPr>
          <w:rFonts w:ascii="Times New Roman" w:hAnsi="Times New Roman" w:cs="Times New Roman"/>
          <w:sz w:val="24"/>
          <w:szCs w:val="24"/>
        </w:rPr>
        <w:t>, из которых один передается ПОЛУЧАТЕЛЮ ГАРАНТИИ, один - ГАРАНТУ.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7. Срок действия Договора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7.1. Договор вступает в силу с даты его подписания и заканчивает свое действие после полного выполнения сторонами своих обязательств по настоящему Договору.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8.1. ГАРАНТ: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Расчетный (текущий) счет № _______________ в ___________________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Корреспондентский счет № ________________ в ____________________</w:t>
      </w:r>
    </w:p>
    <w:p w:rsidR="00BF4F77" w:rsidRPr="00BF4F77" w:rsidRDefault="00873A7F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____________ </w:t>
      </w:r>
      <w:r w:rsidR="00BF4F77" w:rsidRPr="00BF4F77">
        <w:rPr>
          <w:rFonts w:ascii="Times New Roman" w:hAnsi="Times New Roman" w:cs="Times New Roman"/>
          <w:sz w:val="24"/>
          <w:szCs w:val="24"/>
        </w:rPr>
        <w:t xml:space="preserve"> Факс: 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8.2. ПОЛУЧАТЕЛЬ ГАРАНТИИ: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Расчетный (текущий) счет № _________________ в 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Корреспондентский счет № ________________ в ____________________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Телефон: _____________ </w:t>
      </w:r>
      <w:r w:rsidR="00873A7F">
        <w:rPr>
          <w:rFonts w:ascii="Times New Roman" w:hAnsi="Times New Roman" w:cs="Times New Roman"/>
          <w:sz w:val="24"/>
          <w:szCs w:val="24"/>
        </w:rPr>
        <w:t xml:space="preserve"> </w:t>
      </w:r>
      <w:r w:rsidRPr="00BF4F77">
        <w:rPr>
          <w:rFonts w:ascii="Times New Roman" w:hAnsi="Times New Roman" w:cs="Times New Roman"/>
          <w:sz w:val="24"/>
          <w:szCs w:val="24"/>
        </w:rPr>
        <w:t>Факс: 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               ГАРАНТ                                                           ПОЛУЧАТЕЛЬ ГАРАНТИИ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    ___________________________                            ____________________________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    (должность, подпись, Ф.И.О.)                                  (должность, подпись, Ф.И.О.)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                                              М.П.</w:t>
      </w:r>
    </w:p>
    <w:p w:rsidR="00773515" w:rsidRDefault="00773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к Порядку предоставления муниципальных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гарантий по инвестиционным проектам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на конкурсной основе за счет средств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73A7F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3515" w:rsidRPr="00BF4F77" w:rsidRDefault="00773515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ДОГОВОР ЗАЛОГА № 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г. ____________                 «______» _______________ 20___ г.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A7F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 xml:space="preserve">, в дальнейшем именуемая ЗАЛОГОДЕРЖАТЕЛЬ, в лице Главы </w:t>
      </w:r>
      <w:r w:rsidR="00873A7F">
        <w:rPr>
          <w:rFonts w:ascii="Times New Roman" w:hAnsi="Times New Roman" w:cs="Times New Roman"/>
          <w:sz w:val="24"/>
          <w:szCs w:val="24"/>
        </w:rPr>
        <w:t>Курского</w:t>
      </w:r>
      <w:r w:rsidRPr="00BF4F77">
        <w:rPr>
          <w:rFonts w:ascii="Times New Roman" w:hAnsi="Times New Roman" w:cs="Times New Roman"/>
          <w:sz w:val="24"/>
          <w:szCs w:val="24"/>
        </w:rPr>
        <w:t xml:space="preserve"> района ___________________, действующего(ей) на основании Устава, с одной стороны, и _____________________________, именуемое(</w:t>
      </w:r>
      <w:proofErr w:type="spellStart"/>
      <w:r w:rsidRPr="00BF4F7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F4F77">
        <w:rPr>
          <w:rFonts w:ascii="Times New Roman" w:hAnsi="Times New Roman" w:cs="Times New Roman"/>
          <w:sz w:val="24"/>
          <w:szCs w:val="24"/>
        </w:rPr>
        <w:t>) в дальнейшем ЗАЛОГОДАТЕЛЬ, в лице ________________, действующего(ей) на основании Устава, с другой стороны, заключили настоящий Договор о нижеследующем: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Статья 1. Предмет Договора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1.1. Предметом Договора является передача ЗАЛОГОДАТЕЛЕМ в залог ЗАЛОГОДЕРЖАТЕЛЮ имущества.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1.2. Предметом залога является: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- принадлежащий ЗАЛОГОДАТЕЛЮ на праве собственности (наименование передаваемого в залог имущества), инвентарный номер _______________ (заверенная копия карточки учета основных средств, заверенная копия акта ввода, заверенные копии счета-фактуры, накладной, заверенные копии договора (контракта) на приобретение, поставку передаваемого в залог оборудования, справка о балансовой стоимости передаваемого оборудования на последнюю отчетную дату, заверенные копии документов, подтверждающих наличие и приобретение передаваемого в залог оборудования, являются неотъемлемой частью Договора);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- принадлежащие ЗАЛОГОДАТЕЛЮ на праве собственности автотранспортные средства: наименование автотранспортного средства, инвентарный номер, дата ввода в эксплуатацию, справка о балансовой стоимости передаваемого в залог автотранспортного средства на последнюю отчетную дату, заверенная копия карточки учета основных средств, заверенная копия паспорта транспортного средства, заверенные копии документов, подтверждающих наличие и приобретение передаваемого в залог оборудования, являются неотъемлемой частью Договора.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1.3. Рыночная стоимость передаваемого в залог, в обеспечение полученной муниципальной гарантии </w:t>
      </w:r>
      <w:r w:rsidR="00873A7F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 xml:space="preserve"> № ___ от «__» _____________ 20__ г., согласно счету № ____ по определению рыночной стоимости имущества (полное наименование ЗАЛОГОДАТЕЛЯ) составляет _______ (_______________________) руб.</w:t>
      </w:r>
      <w:r w:rsidR="00873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Статья 2. Обязательства, исполнение которых обеспечено залогом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2.1. Предметом залога обеспечивается исполнение обязательств, возникших на основании заключенного между ЗАЛОГОДАТЕЛЕМ (получателем муниципальной гарантии </w:t>
      </w:r>
      <w:r w:rsidR="0085057A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 xml:space="preserve">) и ЗАЛОГОДЕРЖАТЕЛЕМ (гарантом) договора о предоставлении муниципальной гарантии </w:t>
      </w:r>
      <w:r w:rsidR="00576F4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 xml:space="preserve"> № ____ от «___» ________________ 20___ г., именуемой далее по тексту «муниципальная гарантия </w:t>
      </w:r>
      <w:r w:rsidR="00576F4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>».</w:t>
      </w:r>
      <w:r w:rsidR="0085057A">
        <w:rPr>
          <w:rFonts w:ascii="Times New Roman" w:hAnsi="Times New Roman" w:cs="Times New Roman"/>
          <w:sz w:val="24"/>
          <w:szCs w:val="24"/>
        </w:rPr>
        <w:t xml:space="preserve"> </w:t>
      </w:r>
      <w:r w:rsidR="00576F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93"/>
      <w:bookmarkEnd w:id="6"/>
      <w:r w:rsidRPr="00BF4F77">
        <w:rPr>
          <w:rFonts w:ascii="Times New Roman" w:hAnsi="Times New Roman" w:cs="Times New Roman"/>
          <w:sz w:val="24"/>
          <w:szCs w:val="24"/>
        </w:rPr>
        <w:lastRenderedPageBreak/>
        <w:t>2.2. Обязательства, исполнение которых обеспечивается Договором, включают в том числе, но не исключительно: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обязательства, возникшие у ЗАЛОГОДЕРЖАТЕЛЯ в результате возмещения кредитору основного долга по заимствованиям, обеспеченным муниципальной гарантией </w:t>
      </w:r>
      <w:r w:rsidR="00576F4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>;</w:t>
      </w:r>
      <w:r w:rsidR="0057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обязательства по уплате процентов за пользование денежными средствами ЗАЛОГОДЕРЖАТЕЛЯ;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обязательства по уплате неустойки, начисленной за несвоевременный возврат основной суммы долга и начисленных процентов;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судебные и иные расходы ЗАЛОГОДЕРЖАТЕЛЯ, связанные с реализацией прав по муниципальной гарантии </w:t>
      </w:r>
      <w:r w:rsidR="00576F4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 xml:space="preserve"> и настоящему Договору.</w:t>
      </w:r>
      <w:r w:rsidR="0057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8"/>
      <w:bookmarkEnd w:id="7"/>
      <w:r w:rsidRPr="00BF4F77">
        <w:rPr>
          <w:rFonts w:ascii="Times New Roman" w:hAnsi="Times New Roman" w:cs="Times New Roman"/>
          <w:sz w:val="24"/>
          <w:szCs w:val="24"/>
        </w:rPr>
        <w:t xml:space="preserve">2.3. ЗАЛОГОДАТЕЛЬ ознакомлен со всеми условиями Договора залога и согласен отвечать за исполнение всех обязательств, возникших у ЗАЛОГОДЕРЖАТЕЛЯ в связи с исполнением обязательств по муниципальной гарантии </w:t>
      </w:r>
      <w:r w:rsidR="00576F4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>, Предметом залога, в том числе по следующим условиям:</w:t>
      </w:r>
      <w:r w:rsidR="0057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- по погашению основного долга;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- по уплате процентов;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- по уплате неустойки,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а также покрытие всех издержек, которые понесет ЗАЛОГОДЕРЖАТЕЛЬ в связи с исполнением обязательств по вышеназванной муниципальной гарантии </w:t>
      </w:r>
      <w:r w:rsidR="00576F4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 xml:space="preserve"> и настоящего Договора.</w:t>
      </w:r>
      <w:r w:rsidR="0057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Статья 3. Заявления и гарантии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3.1. ЗАЛОГОДАТЕЛЬ подтверждает и гарантирует, что: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3.1.1. Действует в соответствии с полномочиями, установленными его учредительными документами.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3.1.2. Является полноправным и законным собственником имущества и обладателем прав, входящих в Предмет залога. До момента заключения Договора Предмет залога не отчужден, не заложен, в споре и под арестом не состоит, не обременен правами третьих лиц.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3.1.3. Предмет залога не имеет каких-либо свойств, в результате проявления которых может произойти его утрата, порча или повреждение.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Статья 4. Права и обязанности сторон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4.1. ЗАЛОГОДАТЕЛЬ принимает на себя следующие обязательства: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4.1.1. Не совершать уступки, не отчуждать Предмет залога без предварительного письменного согласия ЗАЛОГОДЕРЖАТЕЛЯ.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4.1.2. Принимать соответствующие, адекватные обстоятельствам меры к обеспечению сохранности Предмета залога, включая текущий и капитальный ремонт.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4.1.3. Не совершать действия, влекущие изменение или прекращение Предмета залога или уменьшение его стоимости, за исключением уменьшения стоимости, имеющего место в результате амортизации Предмета залога в ходе его нормальной хозяйственной эксплуатации.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4.1.4. Немедленно уведомлять ЗАЛОГОДЕРЖАТЕЛЯ о возникновении угрозы утраты или повреждения Предмета залога.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4.1.5. Обеспечивать ЗАЛОГОДЕРЖАТЕЛЮ возможность документальной и фактической проверки наличия и состояния Предмета залога.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В течение 5 (пяти) рабочих дней предоставлять ЗАЛОГОДЕРЖАТЕЛЮ любую запрашиваемую информацию относительно Предмета залога.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lastRenderedPageBreak/>
        <w:t>4.1.6. Немедленно ставить в известность ЗАЛОГОДЕРЖАТЕЛЯ об изменениях, произошедших в Предмете залога, о его нарушениях третьими лицами или о притязаниях третьих лиц на Предмет залога.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4.1.7. Заменять Предмет залога по требованию ЗАЛОГОДЕРЖАТЕЛЯ равным по стоимости в течение 20 (двадцати) рабочих дней с момента получения ЗАЛОГОДАТЕЛЕМ письменного уведомления ЗАЛОГОДЕРЖАТЕЛЯ о замене Предмета залога, в случае его утраты или повреждения либо если право собственности на него прекращено по основаниям, предусмотренным законом.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4.1.8. Передать ЗАЛОГОДЕРЖАТЕЛЮ при подписании Договора нотариально заверенные копии документов, подтверждающих право собственности ЗАЛОГОДАТЕЛЯ на Предмет залога.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4.1.9. В случае возбуждения процедуры принудительной ликвидации ЗАЛОГОДАТЕЛЯ в письменной форме уведомить ЗАЛОГОДЕРЖАТЕЛЯ о поступившем в арбитражный суд соответствующем заявлении, но не позднее 3 (трех) рабочих дней с момента получения от заявителя копии такого заявления.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4.1.10. ЗАЛОГОДАТЕЛЬ несет в полной мере ответственность за Предмет залога, риск его случайной гибели или случайного повреждения.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4.2. ЗАЛОГОДАТЕЛЬ имеет право: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4.2.1. Пользоваться Предметом залога в соответствии с его целевым назначением и получать доходы от Предмета залога, обеспечивая его сохранность.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4.2.2. Прекратить обращение взыскания на Предмет залога в любое время до момента его реализации посредством исполнения обеспеченных залогом обязательств.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4.3. ЗАЛОГОДЕРЖАТЕЛЬ имеет право: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4.3.1. Проверять по документам фактическое наличие, размер, состояние и условия использования Предмета залога и требовать в этих целях предоставления необходимых документов.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4.3.2. Требовать от ЗАЛОГОДАТЕЛЯ принятия мер, необходимых для сохранения Предмета залога.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4.3.3. Выступать в качестве третьего лица в деле, в котором рассматривают иск об имуществе, являющемся Предметом залога по Договору.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4.3.4. Обратить взыскание на Предмет залога до наступления срока исполнения обеспеченного залогом обязательства при невыполнении ЗАЛОГОДАТЕЛЕМ обязанностей, предусмотренных действующим законодательством, муниципальной гарантией </w:t>
      </w:r>
      <w:r w:rsidR="00576F4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 xml:space="preserve"> и Договором.</w:t>
      </w:r>
      <w:r w:rsidR="0057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4.3.5. Требовать от ЗАЛОГОДАТЕЛЯ досрочного исполнения своих обязательств в случаях, предусмотренных действующим законодательством Российской Федерации.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Статья 5. Ответственность сторон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Статья 6. Дополнительные условия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6.1. Стороны договорились, что обращение взыскания на Предмет залога, являющийся обеспечением по муниципальной гарантии </w:t>
      </w:r>
      <w:r w:rsidR="00576F4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  <w:r w:rsidRPr="00BF4F77">
        <w:rPr>
          <w:rFonts w:ascii="Times New Roman" w:hAnsi="Times New Roman" w:cs="Times New Roman"/>
          <w:sz w:val="24"/>
          <w:szCs w:val="24"/>
        </w:rPr>
        <w:t>, осуществляется в порядке, установленном действующим законодательством.</w:t>
      </w:r>
      <w:r w:rsidR="00576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6.2. Сумма, полученная от реализации Предмета залога, поступает в погашение задолженности в порядке, предусмотренном условиями пунктов 2.2 и 2.3 настоящего Договора.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Статья 7. Особые условия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7.1. В случае частичного исполнения ЗАЛОГОДАТЕЛЕМ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Статья 8. Срок действия Договора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обеспеченных залогом обязательств по Договору.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Статья 9. Заключительные положения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9.1. Взаимоотношения сторон, не урегулированные в Договоре, регулируются в соответствии с действующим законодательством Российской Федерации.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9.2. Все споры по Договору расс</w:t>
      </w:r>
      <w:r w:rsidR="00576F49">
        <w:rPr>
          <w:rFonts w:ascii="Times New Roman" w:hAnsi="Times New Roman" w:cs="Times New Roman"/>
          <w:sz w:val="24"/>
          <w:szCs w:val="24"/>
        </w:rPr>
        <w:t>матриваются в арбитражном суде Кур</w:t>
      </w:r>
      <w:r w:rsidRPr="00BF4F77">
        <w:rPr>
          <w:rFonts w:ascii="Times New Roman" w:hAnsi="Times New Roman" w:cs="Times New Roman"/>
          <w:sz w:val="24"/>
          <w:szCs w:val="24"/>
        </w:rPr>
        <w:t>ской области в соответствии с действующим законодательством Российской Федерации.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9.3. Соглашение об изменении или расторжении Договора совершается в письменной форме путем заключения дополнительных соглашений, подписанных уполномоченными представителями сторон и зарегистрированных в порядке, предусмотренном для Договора.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9.4. Все приложения к Договору являются его неотъемлемой частью.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9.5. Договор составлен в двух экземплярах, имеющих равную юридическую силу, один - для ЗАЛОГОДЕРЖАТЕЛЯ, один - для ЗАЛОГОДАТЕЛЯ.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Статья 10. Местонахождение и банковские реквизиты сторон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ЗАЛОГОДЕРЖАТЕЛЬ: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ИНН __________ ОГРН 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Расчетный счет № ___________ в _________ БИК ___________________</w:t>
      </w:r>
    </w:p>
    <w:p w:rsidR="00BF4F77" w:rsidRPr="00BF4F77" w:rsidRDefault="00576F49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 Ф</w:t>
      </w:r>
      <w:r w:rsidR="00BF4F77" w:rsidRPr="00BF4F77">
        <w:rPr>
          <w:rFonts w:ascii="Times New Roman" w:hAnsi="Times New Roman" w:cs="Times New Roman"/>
          <w:sz w:val="24"/>
          <w:szCs w:val="24"/>
        </w:rPr>
        <w:t>акс 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ЗАЛОГОДАТЕЛЬ: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Местонахождение: _______________________________________________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ИНН __________ ОГРН _________________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Расчетный счет № ___________ в ____________</w:t>
      </w:r>
    </w:p>
    <w:p w:rsidR="00BF4F77" w:rsidRPr="00BF4F77" w:rsidRDefault="00576F49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 Ф</w:t>
      </w:r>
      <w:r w:rsidR="00BF4F77" w:rsidRPr="00BF4F77">
        <w:rPr>
          <w:rFonts w:ascii="Times New Roman" w:hAnsi="Times New Roman" w:cs="Times New Roman"/>
          <w:sz w:val="24"/>
          <w:szCs w:val="24"/>
        </w:rPr>
        <w:t>акс ______________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    ЗАЛОГОДЕРЖАТЕЛЬ                                           ЗАЛОГОДАТЕЛЬ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__________________ __________                           ___________________ ____________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(Ф.И.О.) (подпись) должность                                    (Ф.И.О.) (подпись)   должность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                     М.П.                                                                  М.П.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F49" w:rsidRDefault="00576F49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F49" w:rsidRDefault="00576F49" w:rsidP="00BF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515" w:rsidRDefault="0077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70712">
        <w:rPr>
          <w:rFonts w:ascii="Times New Roman" w:hAnsi="Times New Roman" w:cs="Times New Roman"/>
          <w:sz w:val="24"/>
          <w:szCs w:val="24"/>
        </w:rPr>
        <w:t>4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к Порядку предоставления муниципальных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гарантий по инвестиционным проектам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на конкурсной основе за счет средств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E024E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BF4F77" w:rsidRPr="00BF4F77" w:rsidRDefault="00BF4F77" w:rsidP="0077351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F77">
        <w:rPr>
          <w:rFonts w:ascii="Times New Roman" w:hAnsi="Times New Roman" w:cs="Times New Roman"/>
          <w:b/>
        </w:rPr>
        <w:t>Методика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F77">
        <w:rPr>
          <w:rFonts w:ascii="Times New Roman" w:hAnsi="Times New Roman" w:cs="Times New Roman"/>
          <w:b/>
        </w:rPr>
        <w:t>проведения анализа финансового состояния принципала при предоставлении муниципальной гарантии по инвестиционным проектам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 xml:space="preserve">1. Настоящая методика разработана в целях реализации положений Решения </w:t>
      </w:r>
      <w:r w:rsidR="001E024E">
        <w:rPr>
          <w:rFonts w:ascii="Times New Roman" w:hAnsi="Times New Roman" w:cs="Times New Roman"/>
        </w:rPr>
        <w:t>Представительного Собрания Курского района Курской области</w:t>
      </w:r>
      <w:r w:rsidRPr="00BF4F77">
        <w:rPr>
          <w:rFonts w:ascii="Times New Roman" w:hAnsi="Times New Roman" w:cs="Times New Roman"/>
        </w:rPr>
        <w:t xml:space="preserve"> о бюджете </w:t>
      </w:r>
      <w:r w:rsidR="001E024E" w:rsidRPr="001E024E">
        <w:rPr>
          <w:rFonts w:ascii="Times New Roman" w:hAnsi="Times New Roman" w:cs="Times New Roman"/>
        </w:rPr>
        <w:t>Курского района Курской области</w:t>
      </w:r>
      <w:r w:rsidRPr="00BF4F77">
        <w:rPr>
          <w:rFonts w:ascii="Times New Roman" w:hAnsi="Times New Roman" w:cs="Times New Roman"/>
        </w:rPr>
        <w:t xml:space="preserve"> на соответствующий финансовый год и плановый период в части проведения анализа финансового состояния принципала при предоставлении муниципальной гарантии по инвестиционным проектам.</w:t>
      </w:r>
      <w:r w:rsidR="001E024E">
        <w:rPr>
          <w:rFonts w:ascii="Times New Roman" w:hAnsi="Times New Roman" w:cs="Times New Roman"/>
        </w:rPr>
        <w:t xml:space="preserve"> 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2. Анализ финансового состояния принципала проводится на основании данных бухгалтерской (финансовой) отчетности и данных, отдельно указываемых в решении об отборе принципала и (или) инвестиционного проекта для предоставления муниципальной гарантии.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3. Период, за который проводится анализ финансового состояния принципала (далее - анализируемый период), включает в себя: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а) последний отчетный период текущего года (последний отчетный период);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б) предыдущий финансовый год (2-й отчетный период);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в) год, предшествующий предыдущему финансовому году (1-й отчетный период).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4. В случае</w:t>
      </w:r>
      <w:r w:rsidR="001E024E">
        <w:rPr>
          <w:rFonts w:ascii="Times New Roman" w:hAnsi="Times New Roman" w:cs="Times New Roman"/>
        </w:rPr>
        <w:t>,</w:t>
      </w:r>
      <w:r w:rsidRPr="00BF4F77">
        <w:rPr>
          <w:rFonts w:ascii="Times New Roman" w:hAnsi="Times New Roman" w:cs="Times New Roman"/>
        </w:rPr>
        <w:t xml:space="preserve">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финансовых года (являющиеся в этом случае соответственно 1-м, 2-м и последним отчетными периодами).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В случае отсутствия по объективным причинам в бухгалтерской (финансовой) отчетности принципала данных за 1-й и (или) 2-й отчетный период (например, вследствие создания принципала в текущем или предыдущем финансовом году) анализ финансового состояния принципала осуществляется на основании данных 2-го и (или) последнего отчетных периодов соответственно, являющихся в данном случае анализируемыми периодами.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5. При проведении анализа финансового состояния принципала рассматриваются следующие показатели: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а) стоимость чистых активов принципала (К1);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б) коэффициент покрытия основных средств собственными средствами (К2);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в) коэффициент текущей ликвидности (К3);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г) рентабельность продаж (К4);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BF4F77">
        <w:rPr>
          <w:rFonts w:ascii="Times New Roman" w:hAnsi="Times New Roman" w:cs="Times New Roman"/>
        </w:rPr>
        <w:t>д</w:t>
      </w:r>
      <w:proofErr w:type="spellEnd"/>
      <w:r w:rsidRPr="00BF4F77">
        <w:rPr>
          <w:rFonts w:ascii="Times New Roman" w:hAnsi="Times New Roman" w:cs="Times New Roman"/>
        </w:rPr>
        <w:t>) норма чистой прибыли (К5);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е) отношение заемных средств (с учетом кредита (облигационного займа), привлекаемых в целях реализации инвестиционного проекта под муниципальную гарантию (далее - кредит (облигационный заем) к собственным средствам (К6);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ж) 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 (К7).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24"/>
      <w:bookmarkEnd w:id="8"/>
      <w:r w:rsidRPr="00BF4F77">
        <w:rPr>
          <w:rFonts w:ascii="Times New Roman" w:hAnsi="Times New Roman" w:cs="Times New Roman"/>
        </w:rPr>
        <w:t xml:space="preserve">6.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по </w:t>
      </w:r>
      <w:r w:rsidRPr="001E024E">
        <w:rPr>
          <w:rFonts w:ascii="Times New Roman" w:hAnsi="Times New Roman" w:cs="Times New Roman"/>
        </w:rPr>
        <w:t>данным раздела 3 отчета</w:t>
      </w:r>
      <w:r w:rsidRPr="00BF4F77">
        <w:rPr>
          <w:rFonts w:ascii="Times New Roman" w:hAnsi="Times New Roman" w:cs="Times New Roman"/>
        </w:rPr>
        <w:t xml:space="preserve"> об изменении капитала (приложение N 2 к приказу Министерства финансов Российской Федерации от 2 июля </w:t>
      </w:r>
      <w:smartTag w:uri="urn:schemas-microsoft-com:office:smarttags" w:element="metricconverter">
        <w:smartTagPr>
          <w:attr w:name="ProductID" w:val="2010 г"/>
        </w:smartTagPr>
        <w:r w:rsidRPr="00BF4F77">
          <w:rPr>
            <w:rFonts w:ascii="Times New Roman" w:hAnsi="Times New Roman" w:cs="Times New Roman"/>
          </w:rPr>
          <w:t>2010 г</w:t>
        </w:r>
      </w:smartTag>
      <w:r w:rsidRPr="00BF4F77">
        <w:rPr>
          <w:rFonts w:ascii="Times New Roman" w:hAnsi="Times New Roman" w:cs="Times New Roman"/>
        </w:rPr>
        <w:t>. N 66н) либо, если предоставление указанного отчета в составе бухгалтерской (финансовой) отчетности не предусмотрено, по данным бухгалтерского баланса по формуле: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К1 = совокупные активы (код строки бухгалтерского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баланса 1600) - долгосрочные обязательства (код строки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бухгалтерского баланса 1400) - краткосрочные обязательства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(код строки бухгалтерского баланса 1500) + доходы будущих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периодов (код строки бухгалтерского баланса 1530).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7. Финансовое состояние принципала признается неудовлетворительным (при этом дальнейший расчет показателей К2, К3, К4, К5, К6 и К7 не осуществляется) в следующих случаях: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а)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б) по состоянию на конец последнего отчетного периода стоимость чистых активов принципала меньше определенного законом минимального размера уставного капитала.</w:t>
      </w:r>
    </w:p>
    <w:p w:rsidR="00BF4F77" w:rsidRPr="001E024E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 xml:space="preserve">8. При удовлетворительном результате анализа величины чистых активов принципала, проведенного в </w:t>
      </w:r>
      <w:r w:rsidRPr="001E024E">
        <w:rPr>
          <w:rFonts w:ascii="Times New Roman" w:hAnsi="Times New Roman" w:cs="Times New Roman"/>
        </w:rPr>
        <w:t>соответствии с пунктом 6 настоящей методики, расчет показателей К2, К3, К4, К5, К6 и К7 проводится в соответствии с приложением № 1.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Показатели К2, К3, К4 и К5 рассчитываются для каждого отчетного периода.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Показатели К4 и К5 также рассчитываются для всего анализируемого периода в целом. При этом показатели К4 и К5 не рассчитываются, если на момент проведения анализа финансового состояния с даты внесения в Единый государственный реестр юридических лиц записи о создании принципала прошло менее 1 года.</w:t>
      </w:r>
    </w:p>
    <w:p w:rsidR="00BF4F77" w:rsidRPr="00BF4F77" w:rsidRDefault="00BF4F77" w:rsidP="001E024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Показатель К6 рассчитывается на конец последнего отчетного периода с учетом суммы кредита (облигационного займа).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При расчете показателя К7 используются значения срока (периода) окупаемости всех заемных средств, привлекаемых в целях реализации инвестиционного проекта, и срока кредита (облигационного займа), определенные органом, осуществляющим отбор инвестиционных проектов и (или) принципалов для предоставления муниципальной гарантий, и отдельно указываемые в его решении.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В рамках настоящей методики величина собственных средств принципала, используемая в расчете показателей К2 и К6, рассчитывается по формуле: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собственные средства принципала = собственный капитал (код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строки бухгалтерского баланса 1300) + доходы будущих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периодов (код строки бухгалтерского баланса 1530).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9. Оценка расчетных значений показателей заключается в их соотнесении со следующими допустимыми значениями (при этом расчетные значения коэффициентов К2, К3, К4, К5, К6 и К7 округляются до третьего знака после запятой):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9559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472"/>
        <w:gridCol w:w="7087"/>
      </w:tblGrid>
      <w:tr w:rsidR="00BF4F77" w:rsidRPr="00BF4F77" w:rsidTr="00C93500">
        <w:tc>
          <w:tcPr>
            <w:tcW w:w="2472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7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Допустимое значение</w:t>
            </w:r>
          </w:p>
        </w:tc>
      </w:tr>
      <w:tr w:rsidR="00BF4F77" w:rsidRPr="00BF4F77" w:rsidTr="00C93500">
        <w:tc>
          <w:tcPr>
            <w:tcW w:w="2472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7087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BF4F77" w:rsidRPr="00BF4F77" w:rsidTr="00C93500">
        <w:tc>
          <w:tcPr>
            <w:tcW w:w="2472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7087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больше или равно 1</w:t>
            </w:r>
          </w:p>
        </w:tc>
      </w:tr>
      <w:tr w:rsidR="00BF4F77" w:rsidRPr="00BF4F77" w:rsidTr="00C93500">
        <w:tc>
          <w:tcPr>
            <w:tcW w:w="2472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7087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BF4F77" w:rsidRPr="00BF4F77" w:rsidTr="00C93500">
        <w:tc>
          <w:tcPr>
            <w:tcW w:w="2472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7087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больше 0</w:t>
            </w:r>
          </w:p>
        </w:tc>
      </w:tr>
      <w:tr w:rsidR="00BF4F77" w:rsidRPr="00BF4F77" w:rsidTr="00C93500">
        <w:tc>
          <w:tcPr>
            <w:tcW w:w="2472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7087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меньше или равно 5</w:t>
            </w:r>
          </w:p>
        </w:tc>
      </w:tr>
      <w:tr w:rsidR="00BF4F77" w:rsidRPr="00BF4F77" w:rsidTr="00C93500">
        <w:tc>
          <w:tcPr>
            <w:tcW w:w="2472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7087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меньше или равно 1.</w:t>
            </w:r>
          </w:p>
        </w:tc>
      </w:tr>
    </w:tbl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0"/>
        </w:rPr>
      </w:pPr>
    </w:p>
    <w:p w:rsidR="00BF4F77" w:rsidRPr="001E024E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 xml:space="preserve">10. Вывод об удовлетворительном значении показателей К2, К3, К4 и К5 в анализируемом периоде делается, если их расчетные значения в отчетных периодах имели допустимое значение на протяжении большей части анализируемого периода (для показателей К2 и К3 при этом используются средние за отчетный период значения, определяемые в </w:t>
      </w:r>
      <w:r w:rsidRPr="001E024E">
        <w:rPr>
          <w:rFonts w:ascii="Times New Roman" w:hAnsi="Times New Roman" w:cs="Times New Roman"/>
        </w:rPr>
        <w:t>соответствии с приложением № 1).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Вывод об удовлетворительном значении показателей К4 и К5 в анализируемом периоде делается также в случае, если их значения, рассчитанные для всего анализируемого периода, имеют допустимое значение.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Вывод об удовлетворительном значении показателей К6 и К7 делается при их соответствии допустимым значениям.</w:t>
      </w:r>
    </w:p>
    <w:p w:rsidR="00BF4F77" w:rsidRPr="001E024E" w:rsidRDefault="00BF4F77" w:rsidP="001E02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 xml:space="preserve">11. Финансовое состояние принципала признается удовлетворительным в случае удовлетворительного результата </w:t>
      </w:r>
      <w:r w:rsidRPr="001E024E">
        <w:rPr>
          <w:rFonts w:ascii="Times New Roman" w:hAnsi="Times New Roman" w:cs="Times New Roman"/>
        </w:rPr>
        <w:t xml:space="preserve">анализа величины чистых активов принципала, проведенного в соответствии с </w:t>
      </w:r>
      <w:hyperlink w:anchor="P24" w:history="1">
        <w:r w:rsidRPr="001E024E">
          <w:rPr>
            <w:rFonts w:ascii="Times New Roman" w:hAnsi="Times New Roman" w:cs="Times New Roman"/>
          </w:rPr>
          <w:t>пунктом 6</w:t>
        </w:r>
      </w:hyperlink>
      <w:r w:rsidRPr="001E024E">
        <w:rPr>
          <w:rFonts w:ascii="Times New Roman" w:hAnsi="Times New Roman" w:cs="Times New Roman"/>
        </w:rPr>
        <w:t xml:space="preserve"> настоящей методики, при условии, что в отношении каждого из показателей К2, К3, К4 и К5 в соответствии с </w:t>
      </w:r>
      <w:hyperlink w:anchor="P35" w:history="1">
        <w:r w:rsidRPr="001E024E">
          <w:rPr>
            <w:rFonts w:ascii="Times New Roman" w:hAnsi="Times New Roman" w:cs="Times New Roman"/>
          </w:rPr>
          <w:t>пунктами 8</w:t>
        </w:r>
      </w:hyperlink>
      <w:r w:rsidRPr="001E024E">
        <w:rPr>
          <w:rFonts w:ascii="Times New Roman" w:hAnsi="Times New Roman" w:cs="Times New Roman"/>
        </w:rPr>
        <w:t xml:space="preserve"> - </w:t>
      </w:r>
      <w:hyperlink w:anchor="P63" w:history="1">
        <w:r w:rsidRPr="001E024E">
          <w:rPr>
            <w:rFonts w:ascii="Times New Roman" w:hAnsi="Times New Roman" w:cs="Times New Roman"/>
          </w:rPr>
          <w:t>10</w:t>
        </w:r>
      </w:hyperlink>
      <w:r w:rsidRPr="001E024E">
        <w:rPr>
          <w:rFonts w:ascii="Times New Roman" w:hAnsi="Times New Roman" w:cs="Times New Roman"/>
        </w:rPr>
        <w:t xml:space="preserve"> настоящей методики сделан вывод о его удовлетворительном значении в анализируемом периоде, и значения каждого из показателей К6 и К7 являются удовлетворительными.</w:t>
      </w:r>
    </w:p>
    <w:p w:rsidR="00BF4F77" w:rsidRPr="00BF4F77" w:rsidRDefault="00BF4F77" w:rsidP="001E02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E024E">
        <w:rPr>
          <w:rFonts w:ascii="Times New Roman" w:hAnsi="Times New Roman" w:cs="Times New Roman"/>
        </w:rPr>
        <w:t>В иных случаях финансовое состояние</w:t>
      </w:r>
      <w:r w:rsidRPr="00BF4F77">
        <w:rPr>
          <w:rFonts w:ascii="Times New Roman" w:hAnsi="Times New Roman" w:cs="Times New Roman"/>
        </w:rPr>
        <w:t xml:space="preserve"> принципала признается неудовлетворительным.</w:t>
      </w:r>
    </w:p>
    <w:p w:rsidR="00BF4F77" w:rsidRPr="00BF4F77" w:rsidRDefault="00BF4F77" w:rsidP="001E024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4F77">
        <w:rPr>
          <w:rFonts w:ascii="Times New Roman" w:hAnsi="Times New Roman" w:cs="Times New Roman"/>
        </w:rPr>
        <w:t>12. Результаты анализа финансового состояния принципала оформляются в соответствии с</w:t>
      </w:r>
      <w:r w:rsidR="001E024E">
        <w:rPr>
          <w:rFonts w:ascii="Times New Roman" w:hAnsi="Times New Roman" w:cs="Times New Roman"/>
        </w:rPr>
        <w:t xml:space="preserve"> приложением № 2. </w:t>
      </w:r>
    </w:p>
    <w:p w:rsidR="00773515" w:rsidRDefault="00773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F4F77" w:rsidRPr="00BF4F77" w:rsidRDefault="00BF4F77" w:rsidP="0077351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F4F77" w:rsidRPr="00BF4F77" w:rsidRDefault="00BF4F77" w:rsidP="0077351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к методике проведения анализа</w:t>
      </w:r>
    </w:p>
    <w:p w:rsidR="00BF4F77" w:rsidRPr="00BF4F77" w:rsidRDefault="00BF4F77" w:rsidP="0077351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финансового состояния принципала</w:t>
      </w:r>
    </w:p>
    <w:p w:rsidR="00BF4F77" w:rsidRPr="00BF4F77" w:rsidRDefault="00BF4F77" w:rsidP="0077351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</w:p>
    <w:p w:rsidR="00BF4F77" w:rsidRPr="00BF4F77" w:rsidRDefault="00BF4F77" w:rsidP="0077351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гарантии по инвестиционным проектам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F77">
        <w:rPr>
          <w:rFonts w:ascii="Times New Roman" w:hAnsi="Times New Roman" w:cs="Times New Roman"/>
          <w:b/>
        </w:rPr>
        <w:t>Расчет финансовых показателей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09"/>
        <w:gridCol w:w="1560"/>
        <w:gridCol w:w="1701"/>
        <w:gridCol w:w="6379"/>
      </w:tblGrid>
      <w:tr w:rsidR="00BF4F77" w:rsidRPr="00BF4F77" w:rsidTr="00C93500">
        <w:tc>
          <w:tcPr>
            <w:tcW w:w="70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Обозначение показателя</w:t>
            </w:r>
          </w:p>
        </w:tc>
        <w:tc>
          <w:tcPr>
            <w:tcW w:w="156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Экономический смысл показателя</w:t>
            </w: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</w:t>
            </w:r>
          </w:p>
        </w:tc>
      </w:tr>
      <w:tr w:rsidR="00BF4F77" w:rsidRPr="00BF4F77" w:rsidTr="00C93500">
        <w:tc>
          <w:tcPr>
            <w:tcW w:w="709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К2</w:t>
            </w:r>
          </w:p>
        </w:tc>
        <w:tc>
          <w:tcPr>
            <w:tcW w:w="1560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1701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характеризует необходимость продажи организацией своих основных средств для осуществления полного расчета кредиторами</w:t>
            </w: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отношение собственных средств к основным средствам</w:t>
            </w:r>
          </w:p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(расчет по данным бухгалтерского баланса):</w:t>
            </w:r>
          </w:p>
        </w:tc>
      </w:tr>
      <w:tr w:rsidR="00BF4F77" w:rsidRPr="00BF4F77" w:rsidTr="00C93500">
        <w:tc>
          <w:tcPr>
            <w:tcW w:w="709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3540760" cy="716915"/>
                  <wp:effectExtent l="0" t="0" r="2540" b="0"/>
                  <wp:docPr id="7" name="Рисунок 8" descr="base_1_197690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base_1_197690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60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F77" w:rsidRPr="00BF4F77" w:rsidTr="00C93500">
        <w:tc>
          <w:tcPr>
            <w:tcW w:w="709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1560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701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показывает достаточность оборотных средств организации для погашения своих текущих обязательств</w:t>
            </w: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отношение оборотных активов к текущим обязательствам</w:t>
            </w:r>
          </w:p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(расчет по данным бухгалтерского баланса):</w:t>
            </w:r>
          </w:p>
        </w:tc>
      </w:tr>
      <w:tr w:rsidR="00BF4F77" w:rsidRPr="00BF4F77" w:rsidTr="00C93500">
        <w:trPr>
          <w:trHeight w:val="1954"/>
        </w:trPr>
        <w:tc>
          <w:tcPr>
            <w:tcW w:w="709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noProof/>
                <w:position w:val="-138"/>
                <w:sz w:val="24"/>
                <w:szCs w:val="24"/>
              </w:rPr>
              <w:drawing>
                <wp:inline distT="0" distB="0" distL="0" distR="0">
                  <wp:extent cx="3540760" cy="1207135"/>
                  <wp:effectExtent l="19050" t="0" r="0" b="0"/>
                  <wp:docPr id="6" name="Рисунок 7" descr="base_1_197690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base_1_197690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0760" cy="1207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F77" w:rsidRPr="00BF4F77" w:rsidTr="00C93500">
        <w:tc>
          <w:tcPr>
            <w:tcW w:w="709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К4</w:t>
            </w:r>
          </w:p>
        </w:tc>
        <w:tc>
          <w:tcPr>
            <w:tcW w:w="1560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рентабельность продаж</w:t>
            </w:r>
          </w:p>
        </w:tc>
        <w:tc>
          <w:tcPr>
            <w:tcW w:w="1701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доля прибыли от продаж в объеме продаж. Характеризует степень эффективности основной деятельности организации</w:t>
            </w: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отношение прибыли от продаж к выручке (расчет по данным отчета о финансовых результатах):</w:t>
            </w:r>
          </w:p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</w:tc>
      </w:tr>
      <w:tr w:rsidR="00BF4F77" w:rsidRPr="00BF4F77" w:rsidTr="00C93500">
        <w:tc>
          <w:tcPr>
            <w:tcW w:w="709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214120" cy="467995"/>
                  <wp:effectExtent l="19050" t="0" r="5080" b="0"/>
                  <wp:docPr id="5" name="Рисунок 6" descr="base_1_197690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base_1_197690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4F77" w:rsidRPr="00BF4F77" w:rsidTr="00C93500">
        <w:tc>
          <w:tcPr>
            <w:tcW w:w="709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</w:t>
            </w:r>
          </w:p>
        </w:tc>
      </w:tr>
      <w:tr w:rsidR="00BF4F77" w:rsidRPr="00BF4F77" w:rsidTr="00C93500">
        <w:tc>
          <w:tcPr>
            <w:tcW w:w="709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3996995" cy="468173"/>
                  <wp:effectExtent l="19050" t="0" r="0" b="0"/>
                  <wp:docPr id="4" name="Рисунок 5" descr="base_1_197690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base_1_197690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5476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F77" w:rsidRPr="00BF4F77" w:rsidTr="00C93500">
        <w:tc>
          <w:tcPr>
            <w:tcW w:w="709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где 1 - 1-й отчетный период, 2 - 2-й отчетный период, 3 - последний отчетный период</w:t>
            </w:r>
          </w:p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77" w:rsidRPr="00BF4F77" w:rsidTr="00C93500">
        <w:tc>
          <w:tcPr>
            <w:tcW w:w="709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К5</w:t>
            </w:r>
          </w:p>
        </w:tc>
        <w:tc>
          <w:tcPr>
            <w:tcW w:w="1560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норма чистой прибыли</w:t>
            </w:r>
          </w:p>
        </w:tc>
        <w:tc>
          <w:tcPr>
            <w:tcW w:w="1701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доля чистой прибыли в объеме продаж. Характеризует общую экономическую эффективность деятельности организации</w:t>
            </w: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отношение чистой прибыли к выручке (расчет по данным отчета о финансовых результатах):</w:t>
            </w:r>
          </w:p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а) для каждого отчетного периода:</w:t>
            </w:r>
          </w:p>
        </w:tc>
      </w:tr>
      <w:tr w:rsidR="00BF4F77" w:rsidRPr="00BF4F77" w:rsidTr="00C93500">
        <w:tc>
          <w:tcPr>
            <w:tcW w:w="709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1148715" cy="467995"/>
                  <wp:effectExtent l="19050" t="0" r="0" b="0"/>
                  <wp:docPr id="3" name="Рисунок 4" descr="base_1_197690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se_1_197690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F4F77" w:rsidRPr="00BF4F77" w:rsidTr="00C93500">
        <w:tc>
          <w:tcPr>
            <w:tcW w:w="709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б) для всего анализируемого периода:</w:t>
            </w:r>
          </w:p>
        </w:tc>
      </w:tr>
      <w:tr w:rsidR="00BF4F77" w:rsidRPr="00BF4F77" w:rsidTr="00C93500">
        <w:tc>
          <w:tcPr>
            <w:tcW w:w="709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3759835" cy="467995"/>
                  <wp:effectExtent l="19050" t="0" r="0" b="0"/>
                  <wp:docPr id="2" name="Рисунок 3" descr="base_1_197690_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ase_1_197690_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83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F4F77" w:rsidRPr="00BF4F77" w:rsidTr="00C93500">
        <w:tc>
          <w:tcPr>
            <w:tcW w:w="709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где 1 - 1-й отчетный период, 2 - 2-й отчетный период, 3 - последний отчетный период</w:t>
            </w:r>
          </w:p>
        </w:tc>
      </w:tr>
      <w:tr w:rsidR="00BF4F77" w:rsidRPr="00BF4F77" w:rsidTr="00C93500">
        <w:tc>
          <w:tcPr>
            <w:tcW w:w="709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К6</w:t>
            </w:r>
          </w:p>
        </w:tc>
        <w:tc>
          <w:tcPr>
            <w:tcW w:w="1560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отношение заемных средств (с учетом кредита или облигационного займа) к собственным средствам</w:t>
            </w:r>
          </w:p>
        </w:tc>
        <w:tc>
          <w:tcPr>
            <w:tcW w:w="1701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определяет кредитоспособность принципала и его финансовую устойчивость</w:t>
            </w: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отношение суммы величин заемных средств и кредита</w:t>
            </w:r>
          </w:p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(облигационного займа) к собственным средствам (расчет по данным бухгалтерского баланса):</w:t>
            </w:r>
          </w:p>
        </w:tc>
      </w:tr>
      <w:tr w:rsidR="00BF4F77" w:rsidRPr="00BF4F77" w:rsidTr="00C93500">
        <w:tc>
          <w:tcPr>
            <w:tcW w:w="709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</w:rPr>
              <w:drawing>
                <wp:inline distT="0" distB="0" distL="0" distR="0">
                  <wp:extent cx="3979545" cy="716915"/>
                  <wp:effectExtent l="0" t="0" r="1905" b="0"/>
                  <wp:docPr id="1" name="Рисунок 2" descr="base_1_197690_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ase_1_197690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9545" cy="71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F77" w:rsidRPr="00BF4F77" w:rsidTr="00C93500">
        <w:tc>
          <w:tcPr>
            <w:tcW w:w="70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К7</w:t>
            </w:r>
          </w:p>
        </w:tc>
        <w:tc>
          <w:tcPr>
            <w:tcW w:w="156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отношение срока (периода) окупаемости всех заемных средств, привлекаемых в целях реализации инвестиционного проекта, к сроку кредита облигационного займа</w:t>
            </w:r>
          </w:p>
        </w:tc>
        <w:tc>
          <w:tcPr>
            <w:tcW w:w="1701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показывает способность принципала обеспечить погашение кредита (облигационного займа) в установленные кредитным договором (условиями выпуска облигационного займа) сроки за счет чистого денежного потока от реализации инвестиционного проекта</w:t>
            </w:r>
          </w:p>
        </w:tc>
        <w:tc>
          <w:tcPr>
            <w:tcW w:w="6379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отношение срока (периода) окупаемости всех заемных средств, привлекаемых в целях реализации инвестиционного проекта (в годах), к сроку кредита (облигационного займа) (в годах).</w:t>
            </w:r>
          </w:p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F77">
              <w:rPr>
                <w:rFonts w:ascii="Times New Roman" w:hAnsi="Times New Roman" w:cs="Times New Roman"/>
                <w:sz w:val="24"/>
                <w:szCs w:val="24"/>
              </w:rPr>
              <w:t>Под сроком (периодом) окупаемости всех заемных средств понимается период времени с начала реализации инвестиционного проекта до момента времени, когда накопленная сумма чистого денежного потока, генерируемого инвестиционным проектом, станет равной или превысит сумму всех заемных средств, вложенных принципалом в инвестиционный проект, при этом к данному моменту времени инвестиционная стадия проекта должна быть завершена, то есть все средства (заемные и собственные) должны быть вложены в инвестиционный проект в полном объеме</w:t>
            </w:r>
          </w:p>
        </w:tc>
      </w:tr>
    </w:tbl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Примечания.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2. Используемые сокращения обозначают следующее:</w:t>
      </w:r>
    </w:p>
    <w:p w:rsidR="00773515" w:rsidRDefault="00BF4F77" w:rsidP="00D835C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«н.п.» - на начало отчетного периода;</w:t>
      </w:r>
      <w:r w:rsidR="00D835C2">
        <w:rPr>
          <w:rFonts w:ascii="Times New Roman" w:hAnsi="Times New Roman" w:cs="Times New Roman"/>
          <w:sz w:val="24"/>
          <w:szCs w:val="24"/>
        </w:rPr>
        <w:t xml:space="preserve"> </w:t>
      </w:r>
      <w:r w:rsidRPr="00BF4F77">
        <w:rPr>
          <w:rFonts w:ascii="Times New Roman" w:hAnsi="Times New Roman" w:cs="Times New Roman"/>
          <w:sz w:val="24"/>
          <w:szCs w:val="24"/>
        </w:rPr>
        <w:t>«к.п.» - на конец отчетного периода.</w:t>
      </w:r>
      <w:bookmarkStart w:id="9" w:name="P151"/>
      <w:bookmarkEnd w:id="9"/>
    </w:p>
    <w:p w:rsidR="00773515" w:rsidRDefault="007735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F77" w:rsidRPr="00BF4F77" w:rsidRDefault="00BF4F77" w:rsidP="0077351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F4F77" w:rsidRPr="00BF4F77" w:rsidRDefault="00BF4F77" w:rsidP="0077351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к методике проведения анализа</w:t>
      </w:r>
    </w:p>
    <w:p w:rsidR="00BF4F77" w:rsidRPr="00BF4F77" w:rsidRDefault="00BF4F77" w:rsidP="0077351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финансового состояния принципала</w:t>
      </w:r>
    </w:p>
    <w:p w:rsidR="00BF4F77" w:rsidRPr="00BF4F77" w:rsidRDefault="00BF4F77" w:rsidP="0077351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при предоставлении муниципальной</w:t>
      </w:r>
    </w:p>
    <w:p w:rsidR="00BF4F77" w:rsidRPr="00BF4F77" w:rsidRDefault="00BF4F77" w:rsidP="00773515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гарантии по инвестиционным проектам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F77">
        <w:rPr>
          <w:rFonts w:ascii="Times New Roman" w:hAnsi="Times New Roman" w:cs="Times New Roman"/>
          <w:b/>
        </w:rPr>
        <w:t>ЗАКЛЮЧЕНИЕ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4F77">
        <w:rPr>
          <w:rFonts w:ascii="Times New Roman" w:hAnsi="Times New Roman" w:cs="Times New Roman"/>
          <w:b/>
        </w:rPr>
        <w:t>по результатам анализа финансового состояния принципала при предоставлении муниципальной гарантии по инвестиционным проектам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Анализ финансового состояния ______________________________________________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(наименование принципала, ИНН, ОГРН, дата внесения в ЕГРЮЛ записи о создании)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______________________ проведен за период _________________________________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Результаты оценки финансового состояния принципала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376"/>
        <w:gridCol w:w="1190"/>
        <w:gridCol w:w="1190"/>
        <w:gridCol w:w="1286"/>
        <w:gridCol w:w="2395"/>
        <w:gridCol w:w="830"/>
      </w:tblGrid>
      <w:tr w:rsidR="00BF4F77" w:rsidRPr="00BF4F77" w:rsidTr="00C93500">
        <w:tc>
          <w:tcPr>
            <w:tcW w:w="2376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Показатель</w:t>
            </w:r>
          </w:p>
        </w:tc>
        <w:tc>
          <w:tcPr>
            <w:tcW w:w="3666" w:type="dxa"/>
            <w:gridSpan w:val="3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Значение</w:t>
            </w:r>
          </w:p>
        </w:tc>
        <w:tc>
          <w:tcPr>
            <w:tcW w:w="2395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Допустимое значение</w:t>
            </w:r>
          </w:p>
        </w:tc>
        <w:tc>
          <w:tcPr>
            <w:tcW w:w="830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Вывод</w:t>
            </w:r>
          </w:p>
        </w:tc>
      </w:tr>
      <w:tr w:rsidR="00BF4F77" w:rsidRPr="00BF4F77" w:rsidTr="00C93500">
        <w:tc>
          <w:tcPr>
            <w:tcW w:w="2376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____ г.</w:t>
            </w:r>
          </w:p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(1-й отчетный период)</w:t>
            </w: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____ г.</w:t>
            </w:r>
          </w:p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(2-й отчетный период)</w:t>
            </w:r>
          </w:p>
        </w:tc>
        <w:tc>
          <w:tcPr>
            <w:tcW w:w="128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____ г.</w:t>
            </w:r>
          </w:p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(последний отчетный период)</w:t>
            </w:r>
          </w:p>
        </w:tc>
        <w:tc>
          <w:tcPr>
            <w:tcW w:w="2395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F77" w:rsidRPr="00BF4F77" w:rsidTr="00C93500">
        <w:tc>
          <w:tcPr>
            <w:tcW w:w="2376" w:type="dxa"/>
          </w:tcPr>
          <w:p w:rsidR="00BF4F77" w:rsidRPr="00871386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71386">
              <w:rPr>
                <w:rFonts w:ascii="Times New Roman" w:hAnsi="Times New Roman" w:cs="Times New Roman"/>
                <w:szCs w:val="20"/>
              </w:rPr>
              <w:t xml:space="preserve">Стоимость чистых активов (К1) </w:t>
            </w:r>
            <w:hyperlink w:anchor="P237" w:history="1">
              <w:r w:rsidRPr="00871386">
                <w:rPr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1190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0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6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5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не менее величины уставного капитала на последнюю отчетную дату или менее величины уставного капитала в течение периода, не превышающего 2 последних финансовых года, но в любом случае не менее определенного законом минимального размера уставного капитала на конец последнего отчетного периода</w:t>
            </w:r>
          </w:p>
        </w:tc>
        <w:tc>
          <w:tcPr>
            <w:tcW w:w="830" w:type="dxa"/>
            <w:vMerge w:val="restart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4F77" w:rsidRPr="00BF4F77" w:rsidTr="00C93500">
        <w:tc>
          <w:tcPr>
            <w:tcW w:w="2376" w:type="dxa"/>
          </w:tcPr>
          <w:p w:rsidR="00BF4F77" w:rsidRPr="00871386" w:rsidRDefault="00BF4F77" w:rsidP="00BF4F7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871386">
              <w:rPr>
                <w:rFonts w:ascii="Times New Roman" w:hAnsi="Times New Roman" w:cs="Times New Roman"/>
                <w:szCs w:val="20"/>
              </w:rPr>
              <w:t>справочно</w:t>
            </w:r>
            <w:proofErr w:type="spellEnd"/>
            <w:r w:rsidRPr="00871386">
              <w:rPr>
                <w:rFonts w:ascii="Times New Roman" w:hAnsi="Times New Roman" w:cs="Times New Roman"/>
                <w:szCs w:val="20"/>
              </w:rPr>
              <w:t>:</w:t>
            </w:r>
          </w:p>
          <w:p w:rsidR="00BF4F77" w:rsidRPr="00871386" w:rsidRDefault="00BF4F77" w:rsidP="00BF4F7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871386">
              <w:rPr>
                <w:rFonts w:ascii="Times New Roman" w:hAnsi="Times New Roman" w:cs="Times New Roman"/>
                <w:szCs w:val="20"/>
              </w:rPr>
              <w:t xml:space="preserve">величина уставного капитала </w:t>
            </w:r>
            <w:hyperlink w:anchor="P237" w:history="1">
              <w:r w:rsidRPr="00871386">
                <w:rPr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119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F77" w:rsidRPr="00BF4F77" w:rsidTr="00C93500">
        <w:tc>
          <w:tcPr>
            <w:tcW w:w="2376" w:type="dxa"/>
          </w:tcPr>
          <w:p w:rsidR="00BF4F77" w:rsidRPr="00871386" w:rsidRDefault="00BF4F77" w:rsidP="00BF4F77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871386">
              <w:rPr>
                <w:rFonts w:ascii="Times New Roman" w:hAnsi="Times New Roman" w:cs="Times New Roman"/>
                <w:szCs w:val="20"/>
              </w:rPr>
              <w:t xml:space="preserve">определенный законом минимальный размер уставного капитала </w:t>
            </w:r>
            <w:hyperlink w:anchor="P237" w:history="1">
              <w:r w:rsidRPr="00871386">
                <w:rPr>
                  <w:rFonts w:ascii="Times New Roman" w:hAnsi="Times New Roman" w:cs="Times New Roman"/>
                  <w:szCs w:val="20"/>
                </w:rPr>
                <w:t>&lt;1&gt;</w:t>
              </w:r>
            </w:hyperlink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28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5" w:type="dxa"/>
            <w:vMerge/>
          </w:tcPr>
          <w:p w:rsidR="00BF4F77" w:rsidRPr="00BF4F77" w:rsidRDefault="00BF4F77" w:rsidP="00BF4F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4F77" w:rsidRPr="00BF4F77" w:rsidTr="00C93500">
        <w:tc>
          <w:tcPr>
            <w:tcW w:w="2376" w:type="dxa"/>
          </w:tcPr>
          <w:p w:rsidR="00BF4F77" w:rsidRPr="00871386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71386">
              <w:rPr>
                <w:rFonts w:ascii="Times New Roman" w:hAnsi="Times New Roman" w:cs="Times New Roman"/>
                <w:szCs w:val="20"/>
              </w:rPr>
              <w:t xml:space="preserve">Коэффициент покрытия основных средств собственными средствами (К2) </w:t>
            </w:r>
            <w:hyperlink w:anchor="P238" w:history="1">
              <w:r w:rsidRPr="00871386">
                <w:rPr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5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больше либо равно 1</w:t>
            </w:r>
          </w:p>
        </w:tc>
        <w:tc>
          <w:tcPr>
            <w:tcW w:w="83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4F77" w:rsidRPr="00BF4F77" w:rsidTr="00C93500">
        <w:tc>
          <w:tcPr>
            <w:tcW w:w="2376" w:type="dxa"/>
          </w:tcPr>
          <w:p w:rsidR="00BF4F77" w:rsidRPr="00871386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871386">
              <w:rPr>
                <w:rFonts w:ascii="Times New Roman" w:hAnsi="Times New Roman" w:cs="Times New Roman"/>
                <w:szCs w:val="20"/>
              </w:rPr>
              <w:t xml:space="preserve">Коэффициент текущей ликвидности (К3) </w:t>
            </w:r>
            <w:hyperlink w:anchor="P238" w:history="1">
              <w:r w:rsidRPr="00871386">
                <w:rPr>
                  <w:rFonts w:ascii="Times New Roman" w:hAnsi="Times New Roman" w:cs="Times New Roman"/>
                  <w:szCs w:val="20"/>
                </w:rPr>
                <w:t>&lt;2&gt;</w:t>
              </w:r>
            </w:hyperlink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5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больше либо равно 1</w:t>
            </w:r>
          </w:p>
        </w:tc>
        <w:tc>
          <w:tcPr>
            <w:tcW w:w="83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4F77" w:rsidRPr="00BF4F77" w:rsidTr="00C93500">
        <w:tc>
          <w:tcPr>
            <w:tcW w:w="237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Рентабельность продаж (К4) в отчетном периоде</w:t>
            </w: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5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больше 0</w:t>
            </w:r>
          </w:p>
        </w:tc>
        <w:tc>
          <w:tcPr>
            <w:tcW w:w="83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4F77" w:rsidRPr="00BF4F77" w:rsidTr="00C93500">
        <w:tc>
          <w:tcPr>
            <w:tcW w:w="237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Рентабельность продаж (К4) в анализируемом периоде</w:t>
            </w: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5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больше 0</w:t>
            </w:r>
          </w:p>
        </w:tc>
        <w:tc>
          <w:tcPr>
            <w:tcW w:w="83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4F77" w:rsidRPr="00BF4F77" w:rsidTr="00C93500">
        <w:tc>
          <w:tcPr>
            <w:tcW w:w="237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Норма чистой прибыли (К5) в отчетном периоде</w:t>
            </w: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5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больше 0</w:t>
            </w:r>
          </w:p>
        </w:tc>
        <w:tc>
          <w:tcPr>
            <w:tcW w:w="83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4F77" w:rsidRPr="00BF4F77" w:rsidTr="00C93500">
        <w:tc>
          <w:tcPr>
            <w:tcW w:w="237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Норма чистой прибыли (К5) в анализируемом периоде</w:t>
            </w: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5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больше 0</w:t>
            </w:r>
          </w:p>
        </w:tc>
        <w:tc>
          <w:tcPr>
            <w:tcW w:w="83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4F77" w:rsidRPr="00BF4F77" w:rsidTr="00C93500">
        <w:tc>
          <w:tcPr>
            <w:tcW w:w="237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Отношение заемных средств к собственным средствам (К</w:t>
            </w:r>
            <w:r w:rsidRPr="00871386">
              <w:rPr>
                <w:rFonts w:ascii="Times New Roman" w:hAnsi="Times New Roman" w:cs="Times New Roman"/>
                <w:szCs w:val="20"/>
              </w:rPr>
              <w:t xml:space="preserve">6) </w:t>
            </w:r>
            <w:hyperlink w:anchor="P239" w:history="1">
              <w:r w:rsidRPr="00871386">
                <w:rPr>
                  <w:rFonts w:ascii="Times New Roman" w:hAnsi="Times New Roman" w:cs="Times New Roman"/>
                  <w:szCs w:val="20"/>
                </w:rPr>
                <w:t>&lt;3&gt;</w:t>
              </w:r>
            </w:hyperlink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28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5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меньше либо равно 5</w:t>
            </w:r>
          </w:p>
        </w:tc>
        <w:tc>
          <w:tcPr>
            <w:tcW w:w="83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4F77" w:rsidRPr="00BF4F77" w:rsidTr="00C93500">
        <w:tc>
          <w:tcPr>
            <w:tcW w:w="237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Отношение срока (периода) окупаемости всех заемных средств, привлекаемых в целях реализации инвестиционного проекта, к сроку кредита (облигационного займа) (К7)</w:t>
            </w: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86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95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F4F77">
              <w:rPr>
                <w:rFonts w:ascii="Times New Roman" w:hAnsi="Times New Roman" w:cs="Times New Roman"/>
                <w:szCs w:val="20"/>
              </w:rPr>
              <w:t>меньше либо равно 1</w:t>
            </w:r>
          </w:p>
        </w:tc>
        <w:tc>
          <w:tcPr>
            <w:tcW w:w="830" w:type="dxa"/>
          </w:tcPr>
          <w:p w:rsidR="00BF4F77" w:rsidRPr="00BF4F77" w:rsidRDefault="00BF4F77" w:rsidP="00BF4F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37"/>
      <w:bookmarkEnd w:id="10"/>
      <w:r w:rsidRPr="00BF4F77">
        <w:rPr>
          <w:rFonts w:ascii="Times New Roman" w:hAnsi="Times New Roman" w:cs="Times New Roman"/>
          <w:sz w:val="24"/>
          <w:szCs w:val="24"/>
        </w:rPr>
        <w:t>&lt;1&gt; На конец отчетного периода.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38"/>
      <w:bookmarkEnd w:id="11"/>
      <w:r w:rsidRPr="00BF4F77">
        <w:rPr>
          <w:rFonts w:ascii="Times New Roman" w:hAnsi="Times New Roman" w:cs="Times New Roman"/>
          <w:sz w:val="24"/>
          <w:szCs w:val="24"/>
        </w:rPr>
        <w:t>&lt;2&gt; Указаны средние за отчетный период значения.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39"/>
      <w:bookmarkEnd w:id="12"/>
      <w:r w:rsidRPr="00BF4F77">
        <w:rPr>
          <w:rFonts w:ascii="Times New Roman" w:hAnsi="Times New Roman" w:cs="Times New Roman"/>
          <w:sz w:val="24"/>
          <w:szCs w:val="24"/>
        </w:rPr>
        <w:t>&lt;3&gt;На конец отчетного периода с учетом суммы кредита (облигационного займа), привлекаемого в целях реализации инвестиционного проекта под</w:t>
      </w:r>
      <w:r w:rsidR="00871386">
        <w:rPr>
          <w:rFonts w:ascii="Times New Roman" w:hAnsi="Times New Roman" w:cs="Times New Roman"/>
          <w:sz w:val="24"/>
          <w:szCs w:val="24"/>
        </w:rPr>
        <w:t xml:space="preserve"> </w:t>
      </w:r>
      <w:r w:rsidRPr="00BF4F77">
        <w:rPr>
          <w:rFonts w:ascii="Times New Roman" w:hAnsi="Times New Roman" w:cs="Times New Roman"/>
          <w:sz w:val="24"/>
          <w:szCs w:val="24"/>
        </w:rPr>
        <w:t>муниципальную гарантию.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Заключение: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>Дата                                      _________________________________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(подпись, должность, Ф.И.О.)</w:t>
      </w: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F77" w:rsidRPr="00BF4F77" w:rsidRDefault="00BF4F77" w:rsidP="00BF4F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F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МП</w:t>
      </w:r>
    </w:p>
    <w:p w:rsidR="00BF4F77" w:rsidRPr="00BF4F77" w:rsidRDefault="00BF4F77" w:rsidP="00BF4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F4F77" w:rsidRPr="00BF4F77" w:rsidSect="00BF4F77">
      <w:headerReference w:type="even" r:id="rId16"/>
      <w:headerReference w:type="default" r:id="rId17"/>
      <w:pgSz w:w="11906" w:h="16838"/>
      <w:pgMar w:top="1134" w:right="707" w:bottom="1134" w:left="1559" w:header="709" w:footer="31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DED" w:rsidRDefault="009A1DED" w:rsidP="003157E6">
      <w:pPr>
        <w:spacing w:after="0" w:line="240" w:lineRule="auto"/>
      </w:pPr>
      <w:r>
        <w:separator/>
      </w:r>
    </w:p>
  </w:endnote>
  <w:endnote w:type="continuationSeparator" w:id="1">
    <w:p w:rsidR="009A1DED" w:rsidRDefault="009A1DED" w:rsidP="0031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DED" w:rsidRDefault="009A1DED" w:rsidP="003157E6">
      <w:pPr>
        <w:spacing w:after="0" w:line="240" w:lineRule="auto"/>
      </w:pPr>
      <w:r>
        <w:separator/>
      </w:r>
    </w:p>
  </w:footnote>
  <w:footnote w:type="continuationSeparator" w:id="1">
    <w:p w:rsidR="009A1DED" w:rsidRDefault="009A1DED" w:rsidP="0031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00" w:rsidRDefault="00462008" w:rsidP="00C935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935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500" w:rsidRDefault="00C93500" w:rsidP="00C9350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00" w:rsidRPr="0061530C" w:rsidRDefault="00462008" w:rsidP="00C93500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61530C">
      <w:rPr>
        <w:rStyle w:val="a7"/>
        <w:sz w:val="24"/>
        <w:szCs w:val="24"/>
      </w:rPr>
      <w:fldChar w:fldCharType="begin"/>
    </w:r>
    <w:r w:rsidR="00C93500" w:rsidRPr="0061530C">
      <w:rPr>
        <w:rStyle w:val="a7"/>
        <w:sz w:val="24"/>
        <w:szCs w:val="24"/>
      </w:rPr>
      <w:instrText xml:space="preserve">PAGE  </w:instrText>
    </w:r>
    <w:r w:rsidRPr="0061530C">
      <w:rPr>
        <w:rStyle w:val="a7"/>
        <w:sz w:val="24"/>
        <w:szCs w:val="24"/>
      </w:rPr>
      <w:fldChar w:fldCharType="separate"/>
    </w:r>
    <w:r w:rsidR="00F0163C">
      <w:rPr>
        <w:rStyle w:val="a7"/>
        <w:noProof/>
        <w:sz w:val="24"/>
        <w:szCs w:val="24"/>
      </w:rPr>
      <w:t>16</w:t>
    </w:r>
    <w:r w:rsidRPr="0061530C">
      <w:rPr>
        <w:rStyle w:val="a7"/>
        <w:sz w:val="24"/>
        <w:szCs w:val="24"/>
      </w:rPr>
      <w:fldChar w:fldCharType="end"/>
    </w:r>
  </w:p>
  <w:p w:rsidR="00C93500" w:rsidRDefault="00C93500" w:rsidP="00C9350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C65D8"/>
    <w:multiLevelType w:val="hybridMultilevel"/>
    <w:tmpl w:val="6D9E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CDD"/>
    <w:rsid w:val="00063041"/>
    <w:rsid w:val="000859B1"/>
    <w:rsid w:val="00105327"/>
    <w:rsid w:val="00155559"/>
    <w:rsid w:val="00192F6C"/>
    <w:rsid w:val="001B344E"/>
    <w:rsid w:val="001E024E"/>
    <w:rsid w:val="00225056"/>
    <w:rsid w:val="00256339"/>
    <w:rsid w:val="00261452"/>
    <w:rsid w:val="002B2457"/>
    <w:rsid w:val="003157E6"/>
    <w:rsid w:val="00370712"/>
    <w:rsid w:val="00462008"/>
    <w:rsid w:val="005229B9"/>
    <w:rsid w:val="00546A29"/>
    <w:rsid w:val="00574AA7"/>
    <w:rsid w:val="00576F49"/>
    <w:rsid w:val="00582F38"/>
    <w:rsid w:val="005F2A2C"/>
    <w:rsid w:val="00613D4B"/>
    <w:rsid w:val="006179E5"/>
    <w:rsid w:val="0062278E"/>
    <w:rsid w:val="00636CDD"/>
    <w:rsid w:val="00652155"/>
    <w:rsid w:val="0066071C"/>
    <w:rsid w:val="006774FD"/>
    <w:rsid w:val="006D79F9"/>
    <w:rsid w:val="00720177"/>
    <w:rsid w:val="00735B61"/>
    <w:rsid w:val="00773515"/>
    <w:rsid w:val="0078713C"/>
    <w:rsid w:val="007B71F9"/>
    <w:rsid w:val="007F4BC6"/>
    <w:rsid w:val="00800F31"/>
    <w:rsid w:val="00844356"/>
    <w:rsid w:val="0085057A"/>
    <w:rsid w:val="00871386"/>
    <w:rsid w:val="00873A7F"/>
    <w:rsid w:val="008A15DE"/>
    <w:rsid w:val="008A2855"/>
    <w:rsid w:val="009241A5"/>
    <w:rsid w:val="009612DE"/>
    <w:rsid w:val="00964565"/>
    <w:rsid w:val="009A1DED"/>
    <w:rsid w:val="00A002A8"/>
    <w:rsid w:val="00B20890"/>
    <w:rsid w:val="00BD2FCA"/>
    <w:rsid w:val="00BF4F77"/>
    <w:rsid w:val="00C93500"/>
    <w:rsid w:val="00D73E86"/>
    <w:rsid w:val="00D756BD"/>
    <w:rsid w:val="00D835C2"/>
    <w:rsid w:val="00DB28F8"/>
    <w:rsid w:val="00DD41DB"/>
    <w:rsid w:val="00E537B2"/>
    <w:rsid w:val="00EC4E51"/>
    <w:rsid w:val="00ED3797"/>
    <w:rsid w:val="00F0163C"/>
    <w:rsid w:val="00F65AA9"/>
    <w:rsid w:val="00F7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1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4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F4F77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7">
    <w:name w:val="page number"/>
    <w:basedOn w:val="a0"/>
    <w:rsid w:val="00BF4F77"/>
  </w:style>
  <w:style w:type="character" w:styleId="a8">
    <w:name w:val="Hyperlink"/>
    <w:basedOn w:val="a0"/>
    <w:uiPriority w:val="99"/>
    <w:unhideWhenUsed/>
    <w:rsid w:val="00BF4F7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35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8ECEF4DC6ED0B9248C4A1FB468DE7691614D24C389847E49E6953B8FC5DF0t4pBI" TargetMode="Externa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urskr.rkursk.ru" TargetMode="Externa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17</Pages>
  <Words>8240</Words>
  <Characters>46968</Characters>
  <Application>Microsoft Office Word</Application>
  <DocSecurity>0</DocSecurity>
  <Lines>391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Об утверждении Порядка предоставления </vt:lpstr>
      <vt:lpstr>муниципальных гарантий по инвестиционным </vt:lpstr>
      <vt:lpstr>проектам на конкурсной основе за счет средств </vt:lpstr>
      <vt:lpstr>бюджета Курского района Курской области</vt:lpstr>
      <vt:lpstr/>
      <vt:lpstr/>
      <vt:lpstr>В соответствии со статьей 115.2 Бюджетного кодекса Российской Федерации, частью </vt:lpstr>
      <vt:lpstr/>
      <vt:lpstr>1. Утвердить Порядок предоставления муниципальных гарантий по инвестиционным про</vt:lpstr>
      <vt:lpstr>2. Утвердить состав Комиссии по инвестиционным конкурсам при Администрации Курск</vt:lpstr>
      <vt:lpstr>3. Настоящее решение вступает в силу со дня его опубликования на официальном сай</vt:lpstr>
      <vt:lpstr/>
      <vt:lpstr/>
      <vt:lpstr/>
      <vt:lpstr>Председатель Представительного Собрания</vt:lpstr>
      <vt:lpstr>Курского района Курской области					   А.Н. Пашутин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>При</vt:lpstr>
      <vt:lpstr>    1. Предмет Договора </vt:lpstr>
      <vt:lpstr>    2. Условия предоставления Гарантии</vt:lpstr>
      <vt:lpstr>    3. Условия расчетов и платежей</vt:lpstr>
      <vt:lpstr>    4. Обязанности и права ГАРАНТА</vt:lpstr>
      <vt:lpstr>    5. Обязанности и права ПОЛУЧАТЕЛЯ ГАРАНТИИ</vt:lpstr>
      <vt:lpstr>    6. Прочие условия</vt:lpstr>
      <vt:lpstr>    7. Срок действия Договора</vt:lpstr>
      <vt:lpstr>    8. Адреса и реквизиты сторон</vt:lpstr>
      <vt:lpstr/>
      <vt:lpstr/>
      <vt:lpstr/>
      <vt:lpstr/>
      <vt:lpstr/>
      <vt:lpstr/>
      <vt:lpstr/>
      <vt:lpstr>П</vt:lpstr>
      <vt:lpstr>    Статья 1. Предмет Договора</vt:lpstr>
      <vt:lpstr>    Статья 2. Обязательства, исполнение которых обеспечено залогом</vt:lpstr>
      <vt:lpstr>    Статья 3. Заявления и гарантии</vt:lpstr>
      <vt:lpstr>    Статья 4. Права и обязанности сторон</vt:lpstr>
      <vt:lpstr>    Статья 5. Ответственность сторон</vt:lpstr>
      <vt:lpstr>    Статья 6. Дополнительные условия</vt:lpstr>
      <vt:lpstr>    </vt:lpstr>
      <vt:lpstr>    </vt:lpstr>
      <vt:lpstr>    </vt:lpstr>
      <vt:lpstr>    </vt:lpstr>
      <vt:lpstr>    Статья 7. Особые условия</vt:lpstr>
      <vt:lpstr>    Статья 8. Срок действия Договора</vt:lpstr>
      <vt:lpstr>    Статья 9. Заключительные положения</vt:lpstr>
      <vt:lpstr>    Статья 10. Местонахождение и банковские реквизиты сторон</vt:lpstr>
      <vt:lpstr/>
      <vt:lpstr/>
      <vt:lpstr/>
      <vt:lpstr>Председатель комиссии: </vt:lpstr>
      <vt:lpstr>Заместитель Главы Администрации Курского района Курской области по бюджету и нал</vt:lpstr>
      <vt:lpstr/>
      <vt:lpstr>Заместитель председателя комиссии: </vt:lpstr>
      <vt:lpstr>Помощник по правовым вопросам Администрации Курского района Курской области</vt:lpstr>
      <vt:lpstr/>
      <vt:lpstr>Ответственный секретарь комиссии: </vt:lpstr>
      <vt:lpstr>Начальник отдела внутреннего муниципального финансового контроля Администрации К</vt:lpstr>
    </vt:vector>
  </TitlesOfParts>
  <Company/>
  <LinksUpToDate>false</LinksUpToDate>
  <CharactersWithSpaces>55098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2018-10-12T10:20:00Z</cp:lastPrinted>
  <dcterms:created xsi:type="dcterms:W3CDTF">2018-10-12T07:55:00Z</dcterms:created>
  <dcterms:modified xsi:type="dcterms:W3CDTF">2018-10-22T07:28:00Z</dcterms:modified>
</cp:coreProperties>
</file>